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420" w:after="75" w:line="420" w:lineRule="atLeast"/>
        <w:jc w:val="both"/>
        <w:outlineLvl w:val="1"/>
        <w:rPr>
          <w:rFonts w:hint="eastAsia" w:ascii="微软雅黑" w:hAnsi="微软雅黑" w:eastAsia="微软雅黑" w:cs="宋体"/>
          <w:b/>
          <w:bCs/>
          <w:color w:val="444444"/>
          <w:kern w:val="0"/>
          <w:sz w:val="36"/>
          <w:szCs w:val="36"/>
        </w:rPr>
      </w:pPr>
      <w:r>
        <w:rPr>
          <w:rFonts w:hint="eastAsia" w:ascii="微软雅黑" w:hAnsi="微软雅黑" w:eastAsia="微软雅黑" w:cs="宋体"/>
          <w:b/>
          <w:bCs/>
          <w:color w:val="444444"/>
          <w:kern w:val="0"/>
          <w:sz w:val="36"/>
          <w:szCs w:val="36"/>
        </w:rPr>
        <w:t>UDC</w:t>
      </w:r>
    </w:p>
    <w:p>
      <w:pPr>
        <w:widowControl/>
        <w:shd w:val="clear" w:color="auto" w:fill="FFFFFF"/>
        <w:spacing w:before="420" w:after="75" w:line="420" w:lineRule="atLeast"/>
        <w:ind w:firstLine="2161" w:firstLineChars="800"/>
        <w:jc w:val="both"/>
        <w:outlineLvl w:val="1"/>
        <w:rPr>
          <w:rFonts w:hint="eastAsia" w:ascii="微软雅黑" w:hAnsi="微软雅黑" w:eastAsia="微软雅黑" w:cs="宋体"/>
          <w:b/>
          <w:bCs/>
          <w:color w:val="444444"/>
          <w:kern w:val="0"/>
          <w:sz w:val="27"/>
          <w:szCs w:val="27"/>
        </w:rPr>
      </w:pPr>
      <w:r>
        <w:rPr>
          <w:rFonts w:hint="eastAsia" w:ascii="微软雅黑" w:hAnsi="微软雅黑" w:eastAsia="微软雅黑" w:cs="宋体"/>
          <w:b/>
          <w:bCs/>
          <w:color w:val="444444"/>
          <w:kern w:val="0"/>
          <w:sz w:val="27"/>
          <w:szCs w:val="27"/>
        </w:rPr>
        <w:t>中华人民共和国行业标准</w:t>
      </w:r>
    </w:p>
    <w:p>
      <w:pPr>
        <w:widowControl/>
        <w:shd w:val="clear" w:color="auto" w:fill="FFFFFF"/>
        <w:spacing w:before="420" w:after="75" w:line="420" w:lineRule="atLeast"/>
        <w:jc w:val="center"/>
        <w:outlineLvl w:val="1"/>
        <w:rPr>
          <w:rFonts w:hint="eastAsia" w:ascii="微软雅黑" w:hAnsi="微软雅黑" w:eastAsia="微软雅黑" w:cs="宋体"/>
          <w:b/>
          <w:bCs/>
          <w:color w:val="444444"/>
          <w:kern w:val="0"/>
          <w:sz w:val="27"/>
          <w:szCs w:val="27"/>
        </w:rPr>
      </w:pPr>
      <w:r>
        <w:rPr>
          <w:rFonts w:hint="eastAsia" w:ascii="微软雅黑" w:hAnsi="微软雅黑" w:eastAsia="微软雅黑" w:cs="宋体"/>
          <w:b/>
          <w:bCs/>
          <w:color w:val="444444"/>
          <w:kern w:val="0"/>
          <w:sz w:val="36"/>
          <w:szCs w:val="36"/>
          <w:lang w:val="en-US" w:eastAsia="zh-CN"/>
        </w:rPr>
        <w:t xml:space="preserve">                   </w:t>
      </w:r>
      <w:r>
        <w:rPr>
          <w:rFonts w:hint="eastAsia" w:ascii="微软雅黑" w:hAnsi="微软雅黑" w:eastAsia="微软雅黑" w:cs="宋体"/>
          <w:b/>
          <w:bCs/>
          <w:color w:val="444444"/>
          <w:kern w:val="0"/>
          <w:sz w:val="36"/>
          <w:szCs w:val="36"/>
        </w:rPr>
        <w:t>CJJ/T261-2017</w:t>
      </w:r>
    </w:p>
    <w:p>
      <w:pPr>
        <w:widowControl/>
        <w:shd w:val="clear" w:color="auto" w:fill="FFFFFF"/>
        <w:spacing w:before="420" w:after="75" w:line="420" w:lineRule="atLeast"/>
        <w:jc w:val="center"/>
        <w:outlineLvl w:val="1"/>
        <w:rPr>
          <w:rFonts w:hint="eastAsia" w:ascii="微软雅黑" w:hAnsi="微软雅黑" w:eastAsia="微软雅黑" w:cs="宋体"/>
          <w:b/>
          <w:bCs/>
          <w:color w:val="444444"/>
          <w:kern w:val="0"/>
          <w:sz w:val="36"/>
          <w:szCs w:val="36"/>
        </w:rPr>
      </w:pPr>
      <w:r>
        <w:rPr>
          <w:rFonts w:ascii="微软雅黑" w:hAnsi="微软雅黑" w:eastAsia="微软雅黑" w:cs="宋体"/>
          <w:color w:val="444444"/>
          <w:kern w:val="0"/>
          <w:szCs w:val="21"/>
        </w:rPr>
        <w:pict>
          <v:rect id="_x0000_i1036" o:spt="1" style="height:0.75pt;width:0pt;" fillcolor="#A0A0A0" filled="t" stroked="f" coordsize="21600,21600" o:hr="t" o:hrstd="t" o:hralign="center">
            <v:path/>
            <v:fill on="t" focussize="0,0"/>
            <v:stroke on="f"/>
            <v:imagedata o:title=""/>
            <o:lock v:ext="edit"/>
            <w10:wrap type="none"/>
            <w10:anchorlock/>
          </v:rect>
        </w:pict>
      </w:r>
    </w:p>
    <w:p>
      <w:pPr>
        <w:widowControl/>
        <w:shd w:val="clear" w:color="auto" w:fill="FFFFFF"/>
        <w:spacing w:before="420" w:after="75" w:line="420" w:lineRule="atLeast"/>
        <w:jc w:val="center"/>
        <w:outlineLvl w:val="1"/>
        <w:rPr>
          <w:rFonts w:ascii="微软雅黑" w:hAnsi="微软雅黑" w:eastAsia="微软雅黑" w:cs="宋体"/>
          <w:b/>
          <w:bCs/>
          <w:color w:val="444444"/>
          <w:kern w:val="0"/>
          <w:sz w:val="36"/>
          <w:szCs w:val="36"/>
        </w:rPr>
      </w:pPr>
      <w:r>
        <w:rPr>
          <w:rFonts w:hint="eastAsia" w:ascii="微软雅黑" w:hAnsi="微软雅黑" w:eastAsia="微软雅黑" w:cs="宋体"/>
          <w:b/>
          <w:bCs/>
          <w:color w:val="444444"/>
          <w:kern w:val="0"/>
          <w:sz w:val="36"/>
          <w:szCs w:val="36"/>
        </w:rPr>
        <w:t>城市照明合同能源管理技术规程</w:t>
      </w:r>
    </w:p>
    <w:p>
      <w:pPr>
        <w:widowControl/>
        <w:shd w:val="clear" w:color="auto" w:fill="FFFFFF"/>
        <w:spacing w:line="420" w:lineRule="atLeast"/>
        <w:jc w:val="left"/>
        <w:rPr>
          <w:rFonts w:ascii="微软雅黑" w:hAnsi="微软雅黑" w:eastAsia="微软雅黑" w:cs="宋体"/>
          <w:b/>
          <w:bCs/>
          <w:color w:val="444444"/>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after="1500" w:line="240" w:lineRule="exact"/>
        <w:ind w:left="0" w:leftChars="0" w:right="0" w:rightChars="0" w:firstLine="0" w:firstLineChars="0"/>
        <w:jc w:val="center"/>
        <w:textAlignment w:val="auto"/>
        <w:outlineLvl w:val="9"/>
        <w:rPr>
          <w:rFonts w:hint="eastAsia" w:ascii="宋体" w:hAnsi="宋体" w:eastAsia="宋体" w:cs="宋体"/>
          <w:b/>
          <w:bCs/>
          <w:color w:val="444444"/>
          <w:kern w:val="0"/>
          <w:sz w:val="30"/>
          <w:szCs w:val="30"/>
        </w:rPr>
      </w:pPr>
      <w:r>
        <w:rPr>
          <w:rFonts w:hint="eastAsia" w:ascii="宋体" w:hAnsi="宋体" w:eastAsia="宋体" w:cs="宋体"/>
          <w:b/>
          <w:bCs/>
          <w:color w:val="444444"/>
          <w:kern w:val="0"/>
          <w:sz w:val="30"/>
          <w:szCs w:val="30"/>
        </w:rPr>
        <w:t xml:space="preserve">Technical code for energy performance </w:t>
      </w:r>
    </w:p>
    <w:p>
      <w:pPr>
        <w:keepNext w:val="0"/>
        <w:keepLines w:val="0"/>
        <w:pageBreakBefore w:val="0"/>
        <w:widowControl/>
        <w:shd w:val="clear" w:color="auto" w:fill="FFFFFF"/>
        <w:kinsoku/>
        <w:wordWrap/>
        <w:overflowPunct/>
        <w:topLinePunct w:val="0"/>
        <w:autoSpaceDE/>
        <w:autoSpaceDN/>
        <w:bidi w:val="0"/>
        <w:adjustRightInd/>
        <w:snapToGrid/>
        <w:spacing w:after="1500" w:line="240" w:lineRule="exact"/>
        <w:ind w:left="0" w:leftChars="0" w:right="0" w:rightChars="0" w:firstLine="0" w:firstLineChars="0"/>
        <w:jc w:val="center"/>
        <w:textAlignment w:val="auto"/>
        <w:outlineLvl w:val="9"/>
        <w:rPr>
          <w:rFonts w:hint="eastAsia" w:ascii="宋体" w:hAnsi="宋体" w:eastAsia="宋体" w:cs="宋体"/>
          <w:b/>
          <w:bCs/>
          <w:color w:val="444444"/>
          <w:kern w:val="0"/>
          <w:sz w:val="30"/>
          <w:szCs w:val="30"/>
        </w:rPr>
      </w:pPr>
      <w:r>
        <w:rPr>
          <w:rFonts w:hint="eastAsia" w:ascii="宋体" w:hAnsi="宋体" w:eastAsia="宋体" w:cs="宋体"/>
          <w:b/>
          <w:bCs/>
          <w:color w:val="444444"/>
          <w:kern w:val="0"/>
          <w:sz w:val="30"/>
          <w:szCs w:val="30"/>
        </w:rPr>
        <w:t>contracting of urban lighting</w:t>
      </w:r>
    </w:p>
    <w:p>
      <w:pPr>
        <w:widowControl/>
        <w:shd w:val="clear" w:color="auto" w:fill="FFFFFF"/>
        <w:spacing w:line="420" w:lineRule="atLeast"/>
        <w:jc w:val="left"/>
        <w:rPr>
          <w:rFonts w:ascii="微软雅黑" w:hAnsi="微软雅黑" w:eastAsia="微软雅黑" w:cs="宋体"/>
          <w:color w:val="444444"/>
          <w:kern w:val="0"/>
          <w:szCs w:val="21"/>
        </w:rPr>
      </w:pPr>
    </w:p>
    <w:p>
      <w:pPr>
        <w:widowControl/>
        <w:shd w:val="clear" w:color="auto" w:fill="FFFFFF"/>
        <w:spacing w:line="420" w:lineRule="atLeast"/>
        <w:jc w:val="center"/>
        <w:rPr>
          <w:rFonts w:hint="eastAsia" w:ascii="微软雅黑" w:hAnsi="微软雅黑" w:eastAsia="微软雅黑" w:cs="宋体"/>
          <w:b/>
          <w:bCs/>
          <w:color w:val="444444"/>
          <w:kern w:val="0"/>
          <w:sz w:val="24"/>
          <w:szCs w:val="24"/>
        </w:rPr>
      </w:pPr>
    </w:p>
    <w:p>
      <w:pPr>
        <w:widowControl/>
        <w:shd w:val="clear" w:color="auto" w:fill="FFFFFF"/>
        <w:spacing w:line="420" w:lineRule="atLeast"/>
        <w:jc w:val="center"/>
        <w:rPr>
          <w:rFonts w:hint="eastAsia" w:ascii="微软雅黑" w:hAnsi="微软雅黑" w:eastAsia="微软雅黑" w:cs="宋体"/>
          <w:b/>
          <w:bCs/>
          <w:color w:val="444444"/>
          <w:kern w:val="0"/>
          <w:sz w:val="24"/>
          <w:szCs w:val="24"/>
        </w:rPr>
      </w:pPr>
    </w:p>
    <w:p>
      <w:pPr>
        <w:widowControl/>
        <w:shd w:val="clear" w:color="auto" w:fill="FFFFFF"/>
        <w:spacing w:line="420" w:lineRule="atLeast"/>
        <w:jc w:val="center"/>
        <w:rPr>
          <w:rFonts w:hint="eastAsia" w:ascii="微软雅黑" w:hAnsi="微软雅黑" w:eastAsia="微软雅黑" w:cs="宋体"/>
          <w:b/>
          <w:bCs/>
          <w:color w:val="444444"/>
          <w:kern w:val="0"/>
          <w:sz w:val="24"/>
          <w:szCs w:val="24"/>
        </w:rPr>
      </w:pPr>
    </w:p>
    <w:p>
      <w:pPr>
        <w:widowControl/>
        <w:shd w:val="clear" w:color="auto" w:fill="FFFFFF"/>
        <w:spacing w:line="420" w:lineRule="atLeast"/>
        <w:jc w:val="center"/>
        <w:rPr>
          <w:rFonts w:ascii="微软雅黑" w:hAnsi="微软雅黑" w:eastAsia="微软雅黑" w:cs="宋体"/>
          <w:b/>
          <w:bCs/>
          <w:color w:val="444444"/>
          <w:kern w:val="0"/>
          <w:sz w:val="24"/>
          <w:szCs w:val="24"/>
        </w:rPr>
      </w:pPr>
      <w:r>
        <w:rPr>
          <w:rFonts w:hint="eastAsia" w:ascii="微软雅黑" w:hAnsi="微软雅黑" w:eastAsia="微软雅黑" w:cs="宋体"/>
          <w:b/>
          <w:bCs/>
          <w:color w:val="444444"/>
          <w:kern w:val="0"/>
          <w:sz w:val="24"/>
          <w:szCs w:val="24"/>
        </w:rPr>
        <w:t>2017-01-10 发布</w:t>
      </w:r>
      <w:r>
        <w:rPr>
          <w:rFonts w:hint="eastAsia" w:ascii="微软雅黑" w:hAnsi="微软雅黑" w:eastAsia="微软雅黑" w:cs="宋体"/>
          <w:b/>
          <w:bCs/>
          <w:color w:val="444444"/>
          <w:kern w:val="0"/>
          <w:sz w:val="24"/>
          <w:szCs w:val="24"/>
          <w:lang w:val="en-US" w:eastAsia="zh-CN"/>
        </w:rPr>
        <w:t xml:space="preserve">                          </w:t>
      </w:r>
      <w:r>
        <w:rPr>
          <w:rFonts w:hint="eastAsia" w:ascii="微软雅黑" w:hAnsi="微软雅黑" w:eastAsia="微软雅黑" w:cs="宋体"/>
          <w:b/>
          <w:bCs/>
          <w:color w:val="444444"/>
          <w:kern w:val="0"/>
          <w:sz w:val="24"/>
          <w:szCs w:val="24"/>
        </w:rPr>
        <w:t>2017-07-01 实施</w:t>
      </w:r>
    </w:p>
    <w:p>
      <w:pPr>
        <w:widowControl/>
        <w:shd w:val="clear" w:color="auto" w:fill="FFFFFF"/>
        <w:spacing w:line="420" w:lineRule="atLeast"/>
        <w:ind w:left="1680" w:hanging="1680" w:hangingChars="800"/>
        <w:jc w:val="both"/>
        <w:rPr>
          <w:rFonts w:ascii="微软雅黑" w:hAnsi="微软雅黑" w:eastAsia="微软雅黑" w:cs="宋体"/>
          <w:b/>
          <w:bCs/>
          <w:color w:val="444444"/>
          <w:kern w:val="0"/>
          <w:sz w:val="27"/>
          <w:szCs w:val="27"/>
        </w:rPr>
      </w:pPr>
      <w:r>
        <w:rPr>
          <w:rFonts w:ascii="微软雅黑" w:hAnsi="微软雅黑" w:eastAsia="微软雅黑" w:cs="宋体"/>
          <w:color w:val="444444"/>
          <w:kern w:val="0"/>
          <w:szCs w:val="21"/>
        </w:rPr>
        <w:pict>
          <v:rect id="_x0000_i1039" o:spt="1" style="height:0.75pt;width:0pt;" fillcolor="#A0A0A0" filled="t" stroked="f" coordsize="21600,21600" o:hr="t" o:hrstd="t" o:hralign="center">
            <v:path/>
            <v:fill on="t" focussize="0,0"/>
            <v:stroke on="f"/>
            <v:imagedata o:title=""/>
            <o:lock v:ext="edit"/>
            <w10:wrap type="none"/>
            <w10:anchorlock/>
          </v:rect>
        </w:pict>
      </w:r>
      <w:r>
        <w:rPr>
          <w:rFonts w:hint="eastAsia" w:ascii="微软雅黑" w:hAnsi="微软雅黑" w:eastAsia="微软雅黑" w:cs="宋体"/>
          <w:b/>
          <w:bCs/>
          <w:color w:val="444444"/>
          <w:kern w:val="0"/>
          <w:sz w:val="27"/>
          <w:szCs w:val="27"/>
        </w:rPr>
        <w:t>中华人民共和国住房和城乡建设部　发 布</w:t>
      </w:r>
    </w:p>
    <w:p>
      <w:pPr>
        <w:widowControl/>
        <w:shd w:val="clear" w:color="auto" w:fill="FFFFFF"/>
        <w:jc w:val="left"/>
        <w:rPr>
          <w:rFonts w:ascii="微软雅黑" w:hAnsi="微软雅黑" w:eastAsia="微软雅黑" w:cs="宋体"/>
          <w:color w:val="444444"/>
          <w:kern w:val="0"/>
          <w:szCs w:val="21"/>
        </w:rPr>
      </w:pPr>
    </w:p>
    <w:p>
      <w:pPr>
        <w:widowControl/>
        <w:shd w:val="clear" w:color="auto" w:fill="FFFFFF"/>
        <w:spacing w:line="420" w:lineRule="atLeast"/>
        <w:jc w:val="center"/>
        <w:outlineLvl w:val="1"/>
        <w:rPr>
          <w:rFonts w:ascii="微软雅黑" w:hAnsi="微软雅黑" w:eastAsia="微软雅黑" w:cs="宋体"/>
          <w:color w:val="444444"/>
          <w:kern w:val="0"/>
          <w:szCs w:val="21"/>
        </w:rPr>
      </w:pPr>
      <w:r>
        <w:rPr>
          <w:rFonts w:hint="eastAsia" w:ascii="微软雅黑" w:hAnsi="微软雅黑" w:eastAsia="微软雅黑" w:cs="宋体"/>
          <w:b/>
          <w:bCs/>
          <w:color w:val="444444"/>
          <w:kern w:val="0"/>
          <w:sz w:val="36"/>
          <w:szCs w:val="36"/>
        </w:rPr>
        <w:t>中华人民共和国住房和城乡建设部</w:t>
      </w:r>
      <w:r>
        <w:rPr>
          <w:rFonts w:hint="eastAsia" w:ascii="微软雅黑" w:hAnsi="微软雅黑" w:eastAsia="微软雅黑" w:cs="宋体"/>
          <w:b/>
          <w:bCs/>
          <w:color w:val="444444"/>
          <w:kern w:val="0"/>
          <w:sz w:val="36"/>
          <w:szCs w:val="36"/>
        </w:rPr>
        <w:br w:type="textWrapping"/>
      </w:r>
      <w:r>
        <w:rPr>
          <w:rFonts w:hint="eastAsia" w:ascii="微软雅黑" w:hAnsi="微软雅黑" w:eastAsia="微软雅黑" w:cs="宋体"/>
          <w:b/>
          <w:bCs/>
          <w:color w:val="444444"/>
          <w:kern w:val="0"/>
          <w:sz w:val="36"/>
          <w:szCs w:val="36"/>
        </w:rPr>
        <w:t>公　告</w:t>
      </w:r>
    </w:p>
    <w:p>
      <w:pPr>
        <w:widowControl/>
        <w:shd w:val="clear" w:color="auto" w:fill="FFFFFF"/>
        <w:spacing w:line="420" w:lineRule="atLeast"/>
        <w:jc w:val="center"/>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t>第 1415 号</w:t>
      </w:r>
    </w:p>
    <w:p>
      <w:pPr>
        <w:widowControl/>
        <w:shd w:val="clear" w:color="auto" w:fill="FFFFFF"/>
        <w:spacing w:before="150" w:after="150" w:line="420" w:lineRule="atLeast"/>
        <w:jc w:val="left"/>
        <w:rPr>
          <w:rFonts w:ascii="微软雅黑" w:hAnsi="微软雅黑" w:eastAsia="微软雅黑" w:cs="宋体"/>
          <w:color w:val="444444"/>
          <w:kern w:val="0"/>
          <w:szCs w:val="21"/>
        </w:rPr>
      </w:pPr>
      <w:r>
        <w:rPr>
          <w:rFonts w:ascii="微软雅黑" w:hAnsi="微软雅黑" w:eastAsia="微软雅黑" w:cs="宋体"/>
          <w:color w:val="444444"/>
          <w:kern w:val="0"/>
          <w:szCs w:val="21"/>
        </w:rPr>
        <w:pict>
          <v:rect id="_x0000_i1027" o:spt="1" style="height:0.75pt;width:0pt;" fillcolor="#A0A0A0" filled="t" stroked="f" coordsize="21600,21600" o:hr="t" o:hrstd="t" o:hralign="center">
            <v:path/>
            <v:fill on="t" focussize="0,0"/>
            <v:stroke on="f"/>
            <v:imagedata o:title=""/>
            <o:lock v:ext="edit"/>
            <w10:wrap type="none"/>
            <w10:anchorlock/>
          </v:rect>
        </w:pict>
      </w:r>
    </w:p>
    <w:p>
      <w:pPr>
        <w:widowControl/>
        <w:shd w:val="clear" w:color="auto" w:fill="FFFFFF"/>
        <w:spacing w:line="420" w:lineRule="atLeast"/>
        <w:jc w:val="center"/>
        <w:outlineLvl w:val="2"/>
        <w:rPr>
          <w:rFonts w:ascii="微软雅黑" w:hAnsi="微软雅黑" w:eastAsia="微软雅黑" w:cs="宋体"/>
          <w:b/>
          <w:bCs/>
          <w:color w:val="444444"/>
          <w:kern w:val="0"/>
          <w:sz w:val="27"/>
          <w:szCs w:val="27"/>
        </w:rPr>
      </w:pPr>
      <w:r>
        <w:rPr>
          <w:rFonts w:hint="eastAsia" w:ascii="微软雅黑" w:hAnsi="微软雅黑" w:eastAsia="微软雅黑" w:cs="宋体"/>
          <w:b/>
          <w:bCs/>
          <w:color w:val="444444"/>
          <w:kern w:val="0"/>
          <w:sz w:val="27"/>
          <w:szCs w:val="27"/>
        </w:rPr>
        <w:t>关于发布行业标准</w:t>
      </w:r>
      <w:r>
        <w:rPr>
          <w:rFonts w:hint="eastAsia" w:ascii="微软雅黑" w:hAnsi="微软雅黑" w:eastAsia="微软雅黑" w:cs="宋体"/>
          <w:b/>
          <w:bCs/>
          <w:color w:val="444444"/>
          <w:kern w:val="0"/>
          <w:sz w:val="27"/>
          <w:szCs w:val="27"/>
        </w:rPr>
        <w:br w:type="textWrapping"/>
      </w:r>
      <w:r>
        <w:rPr>
          <w:rFonts w:hint="eastAsia" w:ascii="微软雅黑" w:hAnsi="微软雅黑" w:eastAsia="微软雅黑" w:cs="宋体"/>
          <w:b/>
          <w:bCs/>
          <w:color w:val="444444"/>
          <w:kern w:val="0"/>
          <w:sz w:val="27"/>
          <w:szCs w:val="27"/>
        </w:rPr>
        <w:t>《城市照明合同能源管理技术规程》的公告</w:t>
      </w:r>
    </w:p>
    <w:p>
      <w:pPr>
        <w:widowControl/>
        <w:shd w:val="clear" w:color="auto" w:fill="FFFFFF"/>
        <w:spacing w:line="420" w:lineRule="atLeast"/>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现批准《城市照明合同能源管理技术规程》为行业标准，编号为CJJ/T261-2017，自2017年7月1日起实施。</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本规程由我部标准定额研究所组织中国建筑工业出版社出版发行。</w:t>
      </w:r>
    </w:p>
    <w:p>
      <w:pPr>
        <w:widowControl/>
        <w:shd w:val="clear" w:color="auto" w:fill="FFFFFF"/>
        <w:spacing w:line="420" w:lineRule="atLeast"/>
        <w:jc w:val="righ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t>中华人民共和国住房和城乡建设部</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2017年1月10日</w:t>
      </w:r>
    </w:p>
    <w:p>
      <w:pPr>
        <w:widowControl/>
        <w:shd w:val="clear" w:color="auto" w:fill="FFFFFF"/>
        <w:jc w:val="left"/>
        <w:rPr>
          <w:rFonts w:ascii="微软雅黑" w:hAnsi="微软雅黑" w:eastAsia="微软雅黑" w:cs="宋体"/>
          <w:color w:val="444444"/>
          <w:kern w:val="0"/>
          <w:szCs w:val="21"/>
        </w:rPr>
      </w:pPr>
    </w:p>
    <w:p>
      <w:pPr>
        <w:widowControl/>
        <w:shd w:val="clear" w:color="auto" w:fill="FFFFFF"/>
        <w:jc w:val="left"/>
        <w:rPr>
          <w:rFonts w:ascii="微软雅黑" w:hAnsi="微软雅黑" w:eastAsia="微软雅黑" w:cs="宋体"/>
          <w:color w:val="444444"/>
          <w:kern w:val="0"/>
          <w:szCs w:val="21"/>
        </w:rPr>
      </w:pPr>
    </w:p>
    <w:p>
      <w:pPr>
        <w:widowControl/>
        <w:shd w:val="clear" w:color="auto" w:fill="FFFFFF"/>
        <w:spacing w:before="1200" w:line="420" w:lineRule="atLeast"/>
        <w:jc w:val="center"/>
        <w:outlineLvl w:val="2"/>
        <w:rPr>
          <w:rFonts w:hint="eastAsia" w:ascii="微软雅黑" w:hAnsi="微软雅黑" w:eastAsia="微软雅黑" w:cs="宋体"/>
          <w:b/>
          <w:bCs/>
          <w:color w:val="444444"/>
          <w:kern w:val="0"/>
          <w:sz w:val="27"/>
          <w:szCs w:val="27"/>
        </w:rPr>
      </w:pPr>
    </w:p>
    <w:p>
      <w:pPr>
        <w:widowControl/>
        <w:shd w:val="clear" w:color="auto" w:fill="FFFFFF"/>
        <w:spacing w:before="1200" w:line="420" w:lineRule="atLeast"/>
        <w:jc w:val="center"/>
        <w:outlineLvl w:val="2"/>
        <w:rPr>
          <w:rFonts w:hint="eastAsia" w:ascii="微软雅黑" w:hAnsi="微软雅黑" w:eastAsia="微软雅黑" w:cs="宋体"/>
          <w:b/>
          <w:bCs/>
          <w:color w:val="444444"/>
          <w:kern w:val="0"/>
          <w:sz w:val="27"/>
          <w:szCs w:val="27"/>
        </w:rPr>
      </w:pPr>
    </w:p>
    <w:p>
      <w:pPr>
        <w:widowControl/>
        <w:shd w:val="clear" w:color="auto" w:fill="FFFFFF"/>
        <w:spacing w:before="1200" w:line="420" w:lineRule="atLeast"/>
        <w:jc w:val="center"/>
        <w:outlineLvl w:val="2"/>
        <w:rPr>
          <w:rFonts w:ascii="微软雅黑" w:hAnsi="微软雅黑" w:eastAsia="微软雅黑" w:cs="宋体"/>
          <w:b/>
          <w:bCs/>
          <w:color w:val="444444"/>
          <w:kern w:val="0"/>
          <w:sz w:val="27"/>
          <w:szCs w:val="27"/>
        </w:rPr>
      </w:pPr>
      <w:r>
        <w:rPr>
          <w:rFonts w:hint="eastAsia" w:ascii="微软雅黑" w:hAnsi="微软雅黑" w:eastAsia="微软雅黑" w:cs="宋体"/>
          <w:b/>
          <w:bCs/>
          <w:color w:val="444444"/>
          <w:kern w:val="0"/>
          <w:sz w:val="27"/>
          <w:szCs w:val="27"/>
        </w:rPr>
        <w:t>前　　言</w:t>
      </w:r>
    </w:p>
    <w:p>
      <w:pPr>
        <w:widowControl/>
        <w:shd w:val="clear" w:color="auto" w:fill="FFFFFF"/>
        <w:spacing w:line="420" w:lineRule="atLeast"/>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根据住房和城乡建设部《关于印发&lt;2013年工程建设标准规范制订、修订计划&gt;的通知》（建标〔2013〕6号）的要求，规程编制组经广泛调查研究，认真总结实践经验，参考有关国际标准和国外先进标准，并在广泛征求意见的基础上，制订本规程。</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本规程的主要技术内容是：</w:t>
      </w:r>
      <w:r>
        <w:rPr>
          <w:rFonts w:hint="eastAsia" w:ascii="微软雅黑" w:hAnsi="微软雅黑" w:eastAsia="微软雅黑" w:cs="宋体"/>
          <w:color w:val="444444"/>
          <w:kern w:val="0"/>
          <w:szCs w:val="21"/>
          <w:lang w:val="en-US" w:eastAsia="zh-CN"/>
        </w:rPr>
        <w:t>1.</w:t>
      </w:r>
      <w:r>
        <w:rPr>
          <w:rFonts w:hint="eastAsia" w:ascii="微软雅黑" w:hAnsi="微软雅黑" w:eastAsia="微软雅黑" w:cs="宋体"/>
          <w:color w:val="444444"/>
          <w:kern w:val="0"/>
          <w:szCs w:val="21"/>
        </w:rPr>
        <w:t>总则，</w:t>
      </w:r>
      <w:r>
        <w:rPr>
          <w:rFonts w:hint="eastAsia" w:ascii="微软雅黑" w:hAnsi="微软雅黑" w:eastAsia="微软雅黑" w:cs="宋体"/>
          <w:color w:val="444444"/>
          <w:kern w:val="0"/>
          <w:szCs w:val="21"/>
          <w:lang w:val="en-US" w:eastAsia="zh-CN"/>
        </w:rPr>
        <w:t>2.</w:t>
      </w:r>
      <w:r>
        <w:rPr>
          <w:rFonts w:hint="eastAsia" w:ascii="微软雅黑" w:hAnsi="微软雅黑" w:eastAsia="微软雅黑" w:cs="宋体"/>
          <w:color w:val="444444"/>
          <w:kern w:val="0"/>
          <w:szCs w:val="21"/>
        </w:rPr>
        <w:t>术语，</w:t>
      </w:r>
      <w:r>
        <w:rPr>
          <w:rFonts w:hint="eastAsia" w:ascii="微软雅黑" w:hAnsi="微软雅黑" w:eastAsia="微软雅黑" w:cs="宋体"/>
          <w:color w:val="444444"/>
          <w:kern w:val="0"/>
          <w:szCs w:val="21"/>
          <w:lang w:val="en-US" w:eastAsia="zh-CN"/>
        </w:rPr>
        <w:t>3.</w:t>
      </w:r>
      <w:r>
        <w:rPr>
          <w:rFonts w:hint="eastAsia" w:ascii="微软雅黑" w:hAnsi="微软雅黑" w:eastAsia="微软雅黑" w:cs="宋体"/>
          <w:color w:val="444444"/>
          <w:kern w:val="0"/>
          <w:szCs w:val="21"/>
        </w:rPr>
        <w:t>基本规定，</w:t>
      </w:r>
      <w:r>
        <w:rPr>
          <w:rFonts w:hint="eastAsia" w:ascii="微软雅黑" w:hAnsi="微软雅黑" w:eastAsia="微软雅黑" w:cs="宋体"/>
          <w:color w:val="444444"/>
          <w:kern w:val="0"/>
          <w:szCs w:val="21"/>
          <w:lang w:val="en-US" w:eastAsia="zh-CN"/>
        </w:rPr>
        <w:t>4.</w:t>
      </w:r>
      <w:r>
        <w:rPr>
          <w:rFonts w:hint="eastAsia" w:ascii="微软雅黑" w:hAnsi="微软雅黑" w:eastAsia="微软雅黑" w:cs="宋体"/>
          <w:color w:val="444444"/>
          <w:kern w:val="0"/>
          <w:szCs w:val="21"/>
        </w:rPr>
        <w:t>节能技术，</w:t>
      </w:r>
      <w:r>
        <w:rPr>
          <w:rFonts w:hint="eastAsia" w:ascii="微软雅黑" w:hAnsi="微软雅黑" w:eastAsia="微软雅黑" w:cs="宋体"/>
          <w:color w:val="444444"/>
          <w:kern w:val="0"/>
          <w:szCs w:val="21"/>
          <w:lang w:val="en-US" w:eastAsia="zh-CN"/>
        </w:rPr>
        <w:t>5.</w:t>
      </w:r>
      <w:r>
        <w:rPr>
          <w:rFonts w:hint="eastAsia" w:ascii="微软雅黑" w:hAnsi="微软雅黑" w:eastAsia="微软雅黑" w:cs="宋体"/>
          <w:color w:val="444444"/>
          <w:kern w:val="0"/>
          <w:szCs w:val="21"/>
          <w:lang w:eastAsia="zh-CN"/>
        </w:rPr>
        <w:t>节能</w:t>
      </w:r>
      <w:r>
        <w:rPr>
          <w:rFonts w:hint="eastAsia" w:ascii="微软雅黑" w:hAnsi="微软雅黑" w:eastAsia="微软雅黑" w:cs="宋体"/>
          <w:color w:val="444444"/>
          <w:kern w:val="0"/>
          <w:szCs w:val="21"/>
        </w:rPr>
        <w:t>评估，</w:t>
      </w:r>
      <w:r>
        <w:rPr>
          <w:rFonts w:hint="eastAsia" w:ascii="微软雅黑" w:hAnsi="微软雅黑" w:eastAsia="微软雅黑" w:cs="宋体"/>
          <w:color w:val="444444"/>
          <w:kern w:val="0"/>
          <w:szCs w:val="21"/>
          <w:lang w:val="en-US" w:eastAsia="zh-CN"/>
        </w:rPr>
        <w:t>6.</w:t>
      </w:r>
      <w:r>
        <w:rPr>
          <w:rFonts w:hint="eastAsia" w:ascii="微软雅黑" w:hAnsi="微软雅黑" w:eastAsia="微软雅黑" w:cs="宋体"/>
          <w:color w:val="444444"/>
          <w:kern w:val="0"/>
          <w:szCs w:val="21"/>
        </w:rPr>
        <w:t>节能措施，</w:t>
      </w:r>
      <w:r>
        <w:rPr>
          <w:rFonts w:hint="eastAsia" w:ascii="微软雅黑" w:hAnsi="微软雅黑" w:eastAsia="微软雅黑" w:cs="宋体"/>
          <w:color w:val="444444"/>
          <w:kern w:val="0"/>
          <w:szCs w:val="21"/>
          <w:lang w:val="en-US" w:eastAsia="zh-CN"/>
        </w:rPr>
        <w:t>7.</w:t>
      </w:r>
      <w:r>
        <w:rPr>
          <w:rFonts w:hint="eastAsia" w:ascii="微软雅黑" w:hAnsi="微软雅黑" w:eastAsia="微软雅黑" w:cs="宋体"/>
          <w:color w:val="444444"/>
          <w:kern w:val="0"/>
          <w:szCs w:val="21"/>
        </w:rPr>
        <w:t>节能效益分享。</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本规程由住房和城乡建设部负责管理，由中国城市科学研究会负责具体技术内容的解释。执行过程中如有意见或建议，请寄送中国城市科学研究会低碳照明研究中心（地址：</w:t>
      </w:r>
      <w:r>
        <w:rPr>
          <w:rFonts w:hint="eastAsia" w:ascii="微软雅黑" w:hAnsi="微软雅黑" w:eastAsia="微软雅黑" w:cs="宋体"/>
          <w:color w:val="444444"/>
          <w:kern w:val="0"/>
          <w:szCs w:val="21"/>
          <w:lang w:eastAsia="zh-CN"/>
        </w:rPr>
        <w:t>北京市海淀区三里河路</w:t>
      </w:r>
      <w:r>
        <w:rPr>
          <w:rFonts w:hint="eastAsia" w:ascii="微软雅黑" w:hAnsi="微软雅黑" w:eastAsia="微软雅黑" w:cs="宋体"/>
          <w:color w:val="444444"/>
          <w:kern w:val="0"/>
          <w:szCs w:val="21"/>
          <w:lang w:val="en-US" w:eastAsia="zh-CN"/>
        </w:rPr>
        <w:t>9号</w:t>
      </w:r>
      <w:r>
        <w:rPr>
          <w:rFonts w:hint="eastAsia" w:ascii="微软雅黑" w:hAnsi="微软雅黑" w:eastAsia="微软雅黑" w:cs="宋体"/>
          <w:color w:val="444444"/>
          <w:kern w:val="0"/>
          <w:szCs w:val="21"/>
        </w:rPr>
        <w:t xml:space="preserve"> ，邮编：</w:t>
      </w:r>
      <w:r>
        <w:rPr>
          <w:rFonts w:hint="eastAsia" w:ascii="微软雅黑" w:hAnsi="微软雅黑" w:eastAsia="微软雅黑" w:cs="宋体"/>
          <w:color w:val="444444"/>
          <w:kern w:val="0"/>
          <w:szCs w:val="21"/>
          <w:lang w:val="en-US" w:eastAsia="zh-CN"/>
        </w:rPr>
        <w:t>100835</w:t>
      </w:r>
      <w:r>
        <w:rPr>
          <w:rFonts w:hint="eastAsia" w:ascii="微软雅黑" w:hAnsi="微软雅黑" w:eastAsia="微软雅黑" w:cs="宋体"/>
          <w:color w:val="444444"/>
          <w:kern w:val="0"/>
          <w:szCs w:val="21"/>
        </w:rPr>
        <w:t xml:space="preserve"> ）。</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本规程主编单位：</w:t>
      </w:r>
      <w:r>
        <w:rPr>
          <w:rFonts w:hint="eastAsia" w:ascii="微软雅黑" w:hAnsi="微软雅黑" w:eastAsia="微软雅黑" w:cs="宋体"/>
          <w:color w:val="444444"/>
          <w:kern w:val="0"/>
          <w:szCs w:val="21"/>
          <w:lang w:eastAsia="zh-CN"/>
        </w:rPr>
        <w:t>虫国城市科学研究会</w:t>
      </w:r>
      <w:bookmarkStart w:id="0" w:name="_GoBack"/>
      <w:bookmarkEnd w:id="0"/>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本规程参编单位：</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本规程主要起草人员：</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本规程主要审查人员：</w:t>
      </w:r>
    </w:p>
    <w:p>
      <w:pPr>
        <w:widowControl/>
        <w:shd w:val="clear" w:color="auto" w:fill="FFFFFF"/>
        <w:jc w:val="left"/>
        <w:rPr>
          <w:rFonts w:ascii="微软雅黑" w:hAnsi="微软雅黑" w:eastAsia="微软雅黑" w:cs="宋体"/>
          <w:color w:val="444444"/>
          <w:kern w:val="0"/>
          <w:szCs w:val="21"/>
        </w:rPr>
      </w:pPr>
    </w:p>
    <w:p>
      <w:pPr>
        <w:widowControl/>
        <w:shd w:val="clear" w:color="auto" w:fill="FFFFFF"/>
        <w:jc w:val="left"/>
        <w:rPr>
          <w:rFonts w:ascii="微软雅黑" w:hAnsi="微软雅黑" w:eastAsia="微软雅黑" w:cs="宋体"/>
          <w:color w:val="444444"/>
          <w:kern w:val="0"/>
          <w:szCs w:val="21"/>
        </w:rPr>
      </w:pPr>
    </w:p>
    <w:p>
      <w:pPr>
        <w:widowControl/>
        <w:shd w:val="clear" w:color="auto" w:fill="FFFFFF"/>
        <w:jc w:val="left"/>
        <w:rPr>
          <w:rFonts w:ascii="微软雅黑" w:hAnsi="微软雅黑" w:eastAsia="微软雅黑" w:cs="宋体"/>
          <w:color w:val="444444"/>
          <w:kern w:val="0"/>
          <w:szCs w:val="21"/>
        </w:rPr>
      </w:pPr>
    </w:p>
    <w:p>
      <w:pPr>
        <w:widowControl/>
        <w:shd w:val="clear" w:color="auto" w:fill="FFFFFF"/>
        <w:jc w:val="left"/>
        <w:rPr>
          <w:rFonts w:ascii="微软雅黑" w:hAnsi="微软雅黑" w:eastAsia="微软雅黑" w:cs="宋体"/>
          <w:color w:val="444444"/>
          <w:kern w:val="0"/>
          <w:szCs w:val="21"/>
        </w:rPr>
      </w:pPr>
    </w:p>
    <w:p>
      <w:pPr>
        <w:widowControl/>
        <w:shd w:val="clear" w:color="auto" w:fill="FFFFFF"/>
        <w:jc w:val="left"/>
        <w:rPr>
          <w:rFonts w:ascii="微软雅黑" w:hAnsi="微软雅黑" w:eastAsia="微软雅黑" w:cs="宋体"/>
          <w:color w:val="444444"/>
          <w:kern w:val="0"/>
          <w:szCs w:val="21"/>
        </w:rPr>
      </w:pPr>
    </w:p>
    <w:p>
      <w:pPr>
        <w:widowControl/>
        <w:shd w:val="clear" w:color="auto" w:fill="FFFFFF"/>
        <w:jc w:val="left"/>
        <w:rPr>
          <w:rFonts w:ascii="微软雅黑" w:hAnsi="微软雅黑" w:eastAsia="微软雅黑" w:cs="宋体"/>
          <w:color w:val="444444"/>
          <w:kern w:val="0"/>
          <w:szCs w:val="21"/>
        </w:rPr>
      </w:pPr>
    </w:p>
    <w:p>
      <w:pPr>
        <w:widowControl/>
        <w:shd w:val="clear" w:color="auto" w:fill="FFFFFF"/>
        <w:spacing w:before="1200" w:line="420" w:lineRule="atLeast"/>
        <w:jc w:val="center"/>
        <w:outlineLvl w:val="2"/>
        <w:rPr>
          <w:rFonts w:ascii="微软雅黑" w:hAnsi="微软雅黑" w:eastAsia="微软雅黑" w:cs="宋体"/>
          <w:b/>
          <w:bCs/>
          <w:color w:val="444444"/>
          <w:kern w:val="0"/>
          <w:sz w:val="27"/>
          <w:szCs w:val="27"/>
        </w:rPr>
      </w:pPr>
      <w:r>
        <w:rPr>
          <w:rFonts w:hint="eastAsia" w:ascii="微软雅黑" w:hAnsi="微软雅黑" w:eastAsia="微软雅黑" w:cs="宋体"/>
          <w:b/>
          <w:bCs/>
          <w:color w:val="444444"/>
          <w:kern w:val="0"/>
          <w:sz w:val="27"/>
          <w:szCs w:val="27"/>
        </w:rPr>
        <w:t>目　　次</w:t>
      </w:r>
    </w:p>
    <w:p>
      <w:pPr>
        <w:widowControl/>
        <w:shd w:val="clear" w:color="auto" w:fill="FFFFFF"/>
        <w:spacing w:line="420" w:lineRule="atLeast"/>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br w:type="textWrapping"/>
      </w:r>
    </w:p>
    <w:p>
      <w:pPr>
        <w:widowControl/>
        <w:numPr>
          <w:ilvl w:val="0"/>
          <w:numId w:val="1"/>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1 总则</w:t>
      </w:r>
    </w:p>
    <w:p>
      <w:pPr>
        <w:widowControl/>
        <w:numPr>
          <w:ilvl w:val="0"/>
          <w:numId w:val="1"/>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2 术语</w:t>
      </w:r>
    </w:p>
    <w:p>
      <w:pPr>
        <w:widowControl/>
        <w:numPr>
          <w:ilvl w:val="0"/>
          <w:numId w:val="1"/>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3 基本规定</w:t>
      </w:r>
    </w:p>
    <w:p>
      <w:pPr>
        <w:widowControl/>
        <w:numPr>
          <w:ilvl w:val="0"/>
          <w:numId w:val="1"/>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4 节能技术</w:t>
      </w:r>
    </w:p>
    <w:p>
      <w:pPr>
        <w:widowControl/>
        <w:numPr>
          <w:ilvl w:val="0"/>
          <w:numId w:val="1"/>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　4.1 节能产品技术要求</w:t>
      </w:r>
    </w:p>
    <w:p>
      <w:pPr>
        <w:widowControl/>
        <w:numPr>
          <w:ilvl w:val="0"/>
          <w:numId w:val="1"/>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　4.2 供配电系统技术要求</w:t>
      </w:r>
    </w:p>
    <w:p>
      <w:pPr>
        <w:widowControl/>
        <w:numPr>
          <w:ilvl w:val="0"/>
          <w:numId w:val="1"/>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　4.3 智能控制系统技术要求</w:t>
      </w:r>
    </w:p>
    <w:p>
      <w:pPr>
        <w:widowControl/>
        <w:numPr>
          <w:ilvl w:val="0"/>
          <w:numId w:val="1"/>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　4.4 项目总体技术要求</w:t>
      </w:r>
    </w:p>
    <w:p>
      <w:pPr>
        <w:widowControl/>
        <w:numPr>
          <w:ilvl w:val="0"/>
          <w:numId w:val="1"/>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 xml:space="preserve">5 </w:t>
      </w:r>
      <w:r>
        <w:rPr>
          <w:rFonts w:hint="eastAsia" w:ascii="微软雅黑" w:hAnsi="微软雅黑" w:eastAsia="微软雅黑" w:cs="宋体"/>
          <w:color w:val="444444"/>
          <w:kern w:val="0"/>
          <w:szCs w:val="21"/>
          <w:shd w:val="clear" w:color="auto" w:fill="FFFFFF"/>
          <w:lang w:eastAsia="zh-CN"/>
        </w:rPr>
        <w:t>节能</w:t>
      </w:r>
      <w:r>
        <w:rPr>
          <w:rFonts w:hint="eastAsia" w:ascii="微软雅黑" w:hAnsi="微软雅黑" w:eastAsia="微软雅黑" w:cs="宋体"/>
          <w:color w:val="444444"/>
          <w:kern w:val="0"/>
          <w:szCs w:val="21"/>
          <w:shd w:val="clear" w:color="auto" w:fill="FFFFFF"/>
        </w:rPr>
        <w:t>评估</w:t>
      </w:r>
    </w:p>
    <w:p>
      <w:pPr>
        <w:widowControl/>
        <w:numPr>
          <w:ilvl w:val="0"/>
          <w:numId w:val="1"/>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6 节能措施8</w:t>
      </w:r>
    </w:p>
    <w:p>
      <w:pPr>
        <w:widowControl/>
        <w:numPr>
          <w:ilvl w:val="0"/>
          <w:numId w:val="1"/>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　6.1 一般要求8</w:t>
      </w:r>
    </w:p>
    <w:p>
      <w:pPr>
        <w:widowControl/>
        <w:numPr>
          <w:ilvl w:val="0"/>
          <w:numId w:val="1"/>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　6.2 照明设备节能8</w:t>
      </w:r>
    </w:p>
    <w:p>
      <w:pPr>
        <w:widowControl/>
        <w:numPr>
          <w:ilvl w:val="0"/>
          <w:numId w:val="1"/>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　6.3 控制系统节能9</w:t>
      </w:r>
    </w:p>
    <w:p>
      <w:pPr>
        <w:widowControl/>
        <w:numPr>
          <w:ilvl w:val="0"/>
          <w:numId w:val="1"/>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　6.4 照明设计与节能10</w:t>
      </w:r>
    </w:p>
    <w:p>
      <w:pPr>
        <w:widowControl/>
        <w:numPr>
          <w:ilvl w:val="0"/>
          <w:numId w:val="1"/>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7 节能效益分享11</w:t>
      </w:r>
    </w:p>
    <w:p>
      <w:pPr>
        <w:widowControl/>
        <w:numPr>
          <w:ilvl w:val="0"/>
          <w:numId w:val="1"/>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本规程用词说明12</w:t>
      </w:r>
    </w:p>
    <w:p>
      <w:pPr>
        <w:widowControl/>
        <w:numPr>
          <w:ilvl w:val="0"/>
          <w:numId w:val="1"/>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引用标准名录13</w:t>
      </w:r>
    </w:p>
    <w:p>
      <w:pPr>
        <w:widowControl/>
        <w:shd w:val="clear" w:color="auto" w:fill="FFFFFF"/>
        <w:jc w:val="left"/>
        <w:rPr>
          <w:rFonts w:ascii="微软雅黑" w:hAnsi="微软雅黑" w:eastAsia="微软雅黑" w:cs="宋体"/>
          <w:color w:val="444444"/>
          <w:kern w:val="0"/>
          <w:szCs w:val="21"/>
        </w:rPr>
      </w:pPr>
    </w:p>
    <w:p>
      <w:pPr>
        <w:widowControl/>
        <w:shd w:val="clear" w:color="auto" w:fill="FFFFFF"/>
        <w:spacing w:before="1200" w:line="420" w:lineRule="atLeast"/>
        <w:jc w:val="center"/>
        <w:outlineLvl w:val="2"/>
        <w:rPr>
          <w:rFonts w:ascii="微软雅黑" w:hAnsi="微软雅黑" w:eastAsia="微软雅黑" w:cs="宋体"/>
          <w:b/>
          <w:bCs/>
          <w:color w:val="444444"/>
          <w:kern w:val="0"/>
          <w:sz w:val="27"/>
          <w:szCs w:val="27"/>
        </w:rPr>
      </w:pPr>
      <w:r>
        <w:rPr>
          <w:rFonts w:hint="eastAsia" w:ascii="微软雅黑" w:hAnsi="微软雅黑" w:eastAsia="微软雅黑" w:cs="宋体"/>
          <w:b/>
          <w:bCs/>
          <w:color w:val="444444"/>
          <w:kern w:val="0"/>
          <w:sz w:val="27"/>
          <w:szCs w:val="27"/>
        </w:rPr>
        <w:t>Contents</w:t>
      </w:r>
    </w:p>
    <w:p>
      <w:pPr>
        <w:widowControl/>
        <w:shd w:val="clear" w:color="auto" w:fill="FFFFFF"/>
        <w:spacing w:line="420" w:lineRule="atLeast"/>
        <w:jc w:val="left"/>
        <w:rPr>
          <w:rFonts w:ascii="微软雅黑" w:hAnsi="微软雅黑" w:eastAsia="微软雅黑" w:cs="宋体"/>
          <w:color w:val="444444"/>
          <w:kern w:val="0"/>
          <w:szCs w:val="21"/>
        </w:rPr>
      </w:pPr>
    </w:p>
    <w:p>
      <w:pPr>
        <w:widowControl/>
        <w:numPr>
          <w:ilvl w:val="0"/>
          <w:numId w:val="2"/>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1 General Provisions1</w:t>
      </w:r>
    </w:p>
    <w:p>
      <w:pPr>
        <w:widowControl/>
        <w:numPr>
          <w:ilvl w:val="0"/>
          <w:numId w:val="2"/>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2 Terms2</w:t>
      </w:r>
    </w:p>
    <w:p>
      <w:pPr>
        <w:widowControl/>
        <w:numPr>
          <w:ilvl w:val="0"/>
          <w:numId w:val="2"/>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3 Basic Requirements3</w:t>
      </w:r>
    </w:p>
    <w:p>
      <w:pPr>
        <w:widowControl/>
        <w:numPr>
          <w:ilvl w:val="0"/>
          <w:numId w:val="2"/>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4 Energy-saving Technical Requirements4</w:t>
      </w:r>
    </w:p>
    <w:p>
      <w:pPr>
        <w:widowControl/>
        <w:numPr>
          <w:ilvl w:val="0"/>
          <w:numId w:val="2"/>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　4.1 Energy-saving Product Technical Requirements4</w:t>
      </w:r>
    </w:p>
    <w:p>
      <w:pPr>
        <w:widowControl/>
        <w:numPr>
          <w:ilvl w:val="0"/>
          <w:numId w:val="2"/>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　4.2 Power Supply and Distribution System Technical Requirements5</w:t>
      </w:r>
    </w:p>
    <w:p>
      <w:pPr>
        <w:widowControl/>
        <w:numPr>
          <w:ilvl w:val="0"/>
          <w:numId w:val="2"/>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　4.3 Intelligent Control System Technical Requirements5</w:t>
      </w:r>
    </w:p>
    <w:p>
      <w:pPr>
        <w:widowControl/>
        <w:numPr>
          <w:ilvl w:val="0"/>
          <w:numId w:val="2"/>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　4.4 Project Overall Technical Requirements5</w:t>
      </w:r>
    </w:p>
    <w:p>
      <w:pPr>
        <w:widowControl/>
        <w:numPr>
          <w:ilvl w:val="0"/>
          <w:numId w:val="2"/>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5 Energy Consumption Status Assessment Program7</w:t>
      </w:r>
    </w:p>
    <w:p>
      <w:pPr>
        <w:widowControl/>
        <w:numPr>
          <w:ilvl w:val="0"/>
          <w:numId w:val="2"/>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6 Urban Lighting Energy-saving Measures8</w:t>
      </w:r>
    </w:p>
    <w:p>
      <w:pPr>
        <w:widowControl/>
        <w:numPr>
          <w:ilvl w:val="0"/>
          <w:numId w:val="2"/>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　6.1 General Requirements8</w:t>
      </w:r>
    </w:p>
    <w:p>
      <w:pPr>
        <w:widowControl/>
        <w:numPr>
          <w:ilvl w:val="0"/>
          <w:numId w:val="2"/>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　6.2 Lighting Equipment Energy-saving8</w:t>
      </w:r>
    </w:p>
    <w:p>
      <w:pPr>
        <w:widowControl/>
        <w:numPr>
          <w:ilvl w:val="0"/>
          <w:numId w:val="2"/>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　6.3 Control System Energy-saving9</w:t>
      </w:r>
    </w:p>
    <w:p>
      <w:pPr>
        <w:widowControl/>
        <w:numPr>
          <w:ilvl w:val="0"/>
          <w:numId w:val="2"/>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　6.4 Lighting Design and Energy-saving10</w:t>
      </w:r>
    </w:p>
    <w:p>
      <w:pPr>
        <w:widowControl/>
        <w:numPr>
          <w:ilvl w:val="0"/>
          <w:numId w:val="2"/>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7 Energy-saving Benefit Sharing11</w:t>
      </w:r>
    </w:p>
    <w:p>
      <w:pPr>
        <w:widowControl/>
        <w:numPr>
          <w:ilvl w:val="0"/>
          <w:numId w:val="2"/>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Explanation of Wording in This Code12</w:t>
      </w:r>
    </w:p>
    <w:p>
      <w:pPr>
        <w:widowControl/>
        <w:numPr>
          <w:ilvl w:val="0"/>
          <w:numId w:val="2"/>
        </w:numPr>
        <w:shd w:val="clear" w:color="auto" w:fill="FFFFFF"/>
        <w:spacing w:line="450" w:lineRule="atLeast"/>
        <w:ind w:left="1500" w:right="1500"/>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shd w:val="clear" w:color="auto" w:fill="FFFFFF"/>
        </w:rPr>
        <w:t>List of Quoted Standards13</w:t>
      </w:r>
    </w:p>
    <w:p>
      <w:pPr>
        <w:widowControl/>
        <w:shd w:val="clear" w:color="auto" w:fill="FFFFFF"/>
        <w:jc w:val="left"/>
        <w:rPr>
          <w:rFonts w:ascii="微软雅黑" w:hAnsi="微软雅黑" w:eastAsia="微软雅黑" w:cs="宋体"/>
          <w:color w:val="444444"/>
          <w:kern w:val="0"/>
          <w:szCs w:val="21"/>
        </w:rPr>
      </w:pPr>
    </w:p>
    <w:p>
      <w:pPr>
        <w:widowControl/>
        <w:shd w:val="clear" w:color="auto" w:fill="FFFFFF"/>
        <w:spacing w:before="420" w:after="420" w:line="420" w:lineRule="atLeast"/>
        <w:jc w:val="center"/>
        <w:outlineLvl w:val="2"/>
        <w:rPr>
          <w:rFonts w:ascii="微软雅黑" w:hAnsi="微软雅黑" w:eastAsia="微软雅黑" w:cs="宋体"/>
          <w:b/>
          <w:bCs/>
          <w:color w:val="444444"/>
          <w:kern w:val="0"/>
          <w:sz w:val="27"/>
          <w:szCs w:val="27"/>
        </w:rPr>
      </w:pPr>
      <w:r>
        <w:rPr>
          <w:rFonts w:hint="eastAsia" w:ascii="微软雅黑" w:hAnsi="微软雅黑" w:eastAsia="微软雅黑" w:cs="宋体"/>
          <w:b/>
          <w:bCs/>
          <w:color w:val="444444"/>
          <w:kern w:val="0"/>
          <w:sz w:val="27"/>
          <w:szCs w:val="27"/>
        </w:rPr>
        <w:t>1　总　则</w:t>
      </w:r>
    </w:p>
    <w:p>
      <w:pPr>
        <w:widowControl/>
        <w:shd w:val="clear" w:color="auto" w:fill="FFFFFF"/>
        <w:spacing w:line="420" w:lineRule="atLeast"/>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t>1.0.1 为贯彻国家节能减排政策，促进城市照明行业的科学发展，推动合同能源管理项目在行业内的落实，规范参与各方的行为，提高运营管理水平，确保照明设施安全、经济、稳定运行，为城市居民提供良好的视觉环境，制定本规范。</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1.0.2 本规范适用于城市照明行业的合同能源管理项目。</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1.0.3 合同能源管理的承担方应具有相应的资格。</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1.0.4 合同能源管理项目所采用的技术应遵循安全可靠、技术先进、经济合理、节能环保的原则，并应符合规划要求，积极采用成熟可靠的新技术、新材料、新设备、新光源。</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1.0.5 城市照明合同能源管理项目除应符合本规范要求外，尚应符合国家现行有关标准的规定。</w:t>
      </w:r>
    </w:p>
    <w:p>
      <w:pPr>
        <w:widowControl/>
        <w:shd w:val="clear" w:color="auto" w:fill="FFFFFF"/>
        <w:spacing w:before="420" w:after="420" w:line="420" w:lineRule="atLeast"/>
        <w:ind w:left="420" w:right="420"/>
        <w:jc w:val="center"/>
        <w:outlineLvl w:val="2"/>
        <w:rPr>
          <w:rFonts w:ascii="微软雅黑" w:hAnsi="微软雅黑" w:eastAsia="微软雅黑" w:cs="宋体"/>
          <w:b/>
          <w:bCs/>
          <w:color w:val="444444"/>
          <w:kern w:val="0"/>
          <w:sz w:val="27"/>
          <w:szCs w:val="27"/>
        </w:rPr>
      </w:pPr>
      <w:r>
        <w:rPr>
          <w:rFonts w:hint="eastAsia" w:ascii="微软雅黑" w:hAnsi="微软雅黑" w:eastAsia="微软雅黑" w:cs="宋体"/>
          <w:b/>
          <w:bCs/>
          <w:color w:val="444444"/>
          <w:kern w:val="0"/>
          <w:sz w:val="27"/>
          <w:szCs w:val="27"/>
        </w:rPr>
        <w:t>2　术　语</w:t>
      </w:r>
    </w:p>
    <w:p>
      <w:pPr>
        <w:widowControl/>
        <w:shd w:val="clear" w:color="auto" w:fill="FFFFFF"/>
        <w:spacing w:line="420" w:lineRule="atLeast"/>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t>2.0.1 合同能源管理 energy performance contracting， EPC</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节能服务公司与用能单位以契约形式约定节能项目的节能目标，节能服务公司为实现节能目标向用能单位提供必要的服务，用能单位以节能效益支付节能服务公司的投入及其合理利润的节能服务机制。</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2.0.2 节能服务公司 energy services company，ESCO</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提供用能状况评估、节能项目设计、融资、改造(施工、设备安装、调试)、运行管理等服务的专业化公司。</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2.0.3 能耗基准 energy consumption baseline</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用能单位和节能服务公司共同确认的，用能单位或用能设备、环节在实施合同能源管理项目前某一时间段内的能源消耗状况。</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2.0.4 项目节能量 project energy savings</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在满足同等需求或达到同等目标的前提下，通过合同能源管理项目实施，用能单位或用能设备、环节的能源消耗相对于能耗基准的减少量。</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2.0.5 节能率 energy saving rate</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节能量与能耗基准量之比，用百分数表示。</w:t>
      </w:r>
    </w:p>
    <w:p>
      <w:pPr>
        <w:widowControl/>
        <w:shd w:val="clear" w:color="auto" w:fill="FFFFFF"/>
        <w:spacing w:before="420" w:after="420" w:line="420" w:lineRule="atLeast"/>
        <w:ind w:left="420" w:right="420"/>
        <w:jc w:val="center"/>
        <w:outlineLvl w:val="2"/>
        <w:rPr>
          <w:rFonts w:ascii="微软雅黑" w:hAnsi="微软雅黑" w:eastAsia="微软雅黑" w:cs="宋体"/>
          <w:b/>
          <w:bCs/>
          <w:color w:val="444444"/>
          <w:kern w:val="0"/>
          <w:sz w:val="27"/>
          <w:szCs w:val="27"/>
        </w:rPr>
      </w:pPr>
      <w:r>
        <w:rPr>
          <w:rFonts w:hint="eastAsia" w:ascii="微软雅黑" w:hAnsi="微软雅黑" w:eastAsia="微软雅黑" w:cs="宋体"/>
          <w:b/>
          <w:bCs/>
          <w:color w:val="444444"/>
          <w:kern w:val="0"/>
          <w:sz w:val="27"/>
          <w:szCs w:val="27"/>
        </w:rPr>
        <w:t>3　基本规定</w:t>
      </w:r>
    </w:p>
    <w:p>
      <w:pPr>
        <w:widowControl/>
        <w:shd w:val="clear" w:color="auto" w:fill="FFFFFF"/>
        <w:spacing w:after="240" w:line="420" w:lineRule="atLeast"/>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t>3.0.1 用能单位应根据实际情况，确定合适的节能项目技术路线，并制定详尽的实施方案；应选择技术先进、成熟、环保、节能效果好、投资回报期短、具有可复制性的产品，并易于监测和确认节能量。</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3.0.2 城市照明合同能源管理项目应报当地有关部门认定。</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3.0.3 用能单位可采用招标或其它方式选择节能服务公司。</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3.0.4 节能服务公司应在国家发展改革委员会、财政部或当地节能主管部门备案。</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3.0.5 项目实施的标准应符合现行国家有关标准。应委托专业设计公司对项目改造前后进行设计计算，以确保改造后照明质量满足现行国家有关标准的规定。</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3.0.6 用能单位应在项目实施中委托监理机构进行监理。</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3.0.7 用能单位应委托能源审计与节能评估服务机构（以下简称“评估单位”）负责对项目合作期内节能效益、工程检查验收、用电状况评估、照明质量等进行第三方评估、测算。</w:t>
      </w:r>
    </w:p>
    <w:p>
      <w:pPr>
        <w:widowControl/>
        <w:shd w:val="clear" w:color="auto" w:fill="FFFFFF"/>
        <w:spacing w:before="420" w:line="420" w:lineRule="atLeast"/>
        <w:jc w:val="center"/>
        <w:outlineLvl w:val="2"/>
        <w:rPr>
          <w:rFonts w:ascii="微软雅黑" w:hAnsi="微软雅黑" w:eastAsia="微软雅黑" w:cs="宋体"/>
          <w:b/>
          <w:bCs/>
          <w:color w:val="444444"/>
          <w:kern w:val="0"/>
          <w:sz w:val="27"/>
          <w:szCs w:val="27"/>
        </w:rPr>
      </w:pPr>
      <w:r>
        <w:rPr>
          <w:rFonts w:hint="eastAsia" w:ascii="微软雅黑" w:hAnsi="微软雅黑" w:eastAsia="微软雅黑" w:cs="宋体"/>
          <w:b/>
          <w:bCs/>
          <w:color w:val="444444"/>
          <w:kern w:val="0"/>
          <w:sz w:val="27"/>
          <w:szCs w:val="27"/>
        </w:rPr>
        <w:t>4 节能技术要求</w:t>
      </w:r>
    </w:p>
    <w:p>
      <w:pPr>
        <w:widowControl/>
        <w:shd w:val="clear" w:color="auto" w:fill="FFFFFF"/>
        <w:spacing w:before="420" w:after="420" w:line="420" w:lineRule="atLeast"/>
        <w:jc w:val="center"/>
        <w:rPr>
          <w:rFonts w:ascii="微软雅黑" w:hAnsi="微软雅黑" w:eastAsia="微软雅黑" w:cs="宋体"/>
          <w:b/>
          <w:bCs/>
          <w:color w:val="444444"/>
          <w:kern w:val="0"/>
          <w:szCs w:val="21"/>
        </w:rPr>
      </w:pPr>
      <w:r>
        <w:rPr>
          <w:rFonts w:hint="eastAsia" w:ascii="微软雅黑" w:hAnsi="微软雅黑" w:eastAsia="微软雅黑" w:cs="宋体"/>
          <w:b/>
          <w:bCs/>
          <w:color w:val="444444"/>
          <w:kern w:val="0"/>
          <w:szCs w:val="21"/>
        </w:rPr>
        <w:t>4.1 节能产品技术要求</w:t>
      </w:r>
    </w:p>
    <w:p>
      <w:pPr>
        <w:widowControl/>
        <w:shd w:val="clear" w:color="auto" w:fill="FFFFFF"/>
        <w:spacing w:line="420" w:lineRule="atLeast"/>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t>4.1.1 节能产品在安全、电磁兼容以及性能等方面均应符合表4.1.1-1所示现行有关国家标准的要求。</w:t>
      </w:r>
    </w:p>
    <w:p>
      <w:pPr>
        <w:widowControl/>
        <w:shd w:val="clear" w:color="auto" w:fill="FFFFFF"/>
        <w:spacing w:before="420" w:line="420" w:lineRule="atLeast"/>
        <w:jc w:val="center"/>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t>表4.1.1-1 城市照明节能产品的部分技术要求</w:t>
      </w:r>
    </w:p>
    <w:tbl>
      <w:tblPr>
        <w:tblStyle w:val="7"/>
        <w:tblW w:w="8322" w:type="dxa"/>
        <w:jc w:val="center"/>
        <w:tblInd w:w="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833"/>
        <w:gridCol w:w="1248"/>
        <w:gridCol w:w="5409"/>
        <w:gridCol w:w="83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3"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考核内容</w:t>
            </w:r>
          </w:p>
        </w:tc>
        <w:tc>
          <w:tcPr>
            <w:tcW w:w="1248"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考核项目</w:t>
            </w:r>
          </w:p>
        </w:tc>
        <w:tc>
          <w:tcPr>
            <w:tcW w:w="5409"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技术要求</w:t>
            </w:r>
          </w:p>
        </w:tc>
        <w:tc>
          <w:tcPr>
            <w:tcW w:w="832"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执行等级</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3" w:type="dxa"/>
            <w:vMerge w:val="restart"/>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安全</w:t>
            </w:r>
          </w:p>
        </w:tc>
        <w:tc>
          <w:tcPr>
            <w:tcW w:w="1248"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整灯IP等级</w:t>
            </w:r>
          </w:p>
        </w:tc>
        <w:tc>
          <w:tcPr>
            <w:tcW w:w="5409"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路灯IP等级≥IP65；室外景观灯IP等级≥IP54</w:t>
            </w:r>
          </w:p>
        </w:tc>
        <w:tc>
          <w:tcPr>
            <w:tcW w:w="832"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推荐值</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3" w:type="dxa"/>
            <w:vMerge w:val="continue"/>
            <w:tcBorders>
              <w:top w:val="outset" w:color="808080" w:sz="6" w:space="0"/>
              <w:left w:val="outset" w:color="808080" w:sz="6" w:space="0"/>
              <w:bottom w:val="outset" w:color="808080" w:sz="6" w:space="0"/>
              <w:right w:val="outset" w:color="808080" w:sz="6" w:space="0"/>
            </w:tcBorders>
            <w:vAlign w:val="center"/>
          </w:tcPr>
          <w:p>
            <w:pPr>
              <w:widowControl/>
              <w:jc w:val="left"/>
              <w:rPr>
                <w:rFonts w:ascii="宋体" w:hAnsi="宋体" w:eastAsia="宋体" w:cs="宋体"/>
                <w:kern w:val="0"/>
                <w:sz w:val="24"/>
                <w:szCs w:val="24"/>
              </w:rPr>
            </w:pPr>
          </w:p>
        </w:tc>
        <w:tc>
          <w:tcPr>
            <w:tcW w:w="1248"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光生物安全</w:t>
            </w:r>
          </w:p>
        </w:tc>
        <w:tc>
          <w:tcPr>
            <w:tcW w:w="5409"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人眼或皮肤能近距离接触发光面的节能产品必须符合现行国家标准《灯和灯系统的光生物安全性》GB/T 20145-2006的要求</w:t>
            </w:r>
          </w:p>
        </w:tc>
        <w:tc>
          <w:tcPr>
            <w:tcW w:w="832"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强制要求</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3" w:type="dxa"/>
            <w:vMerge w:val="continue"/>
            <w:tcBorders>
              <w:top w:val="outset" w:color="808080" w:sz="6" w:space="0"/>
              <w:left w:val="outset" w:color="808080" w:sz="6" w:space="0"/>
              <w:bottom w:val="outset" w:color="808080" w:sz="6" w:space="0"/>
              <w:right w:val="outset" w:color="808080" w:sz="6" w:space="0"/>
            </w:tcBorders>
            <w:vAlign w:val="center"/>
          </w:tcPr>
          <w:p>
            <w:pPr>
              <w:widowControl/>
              <w:jc w:val="left"/>
              <w:rPr>
                <w:rFonts w:ascii="宋体" w:hAnsi="宋体" w:eastAsia="宋体" w:cs="宋体"/>
                <w:kern w:val="0"/>
                <w:sz w:val="24"/>
                <w:szCs w:val="24"/>
              </w:rPr>
            </w:pPr>
          </w:p>
        </w:tc>
        <w:tc>
          <w:tcPr>
            <w:tcW w:w="1248"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其他安全考核项</w:t>
            </w:r>
          </w:p>
        </w:tc>
        <w:tc>
          <w:tcPr>
            <w:tcW w:w="5409"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结构、接地、爬电距离与电气间隙、绝缘电阻与电气强度、接线端子、防触电保护和耐热、耐火、耐蚀性等均必须符合现行国家标准《灯具 第1部分:一般安全与试验》GB7000.1-2007、《道路与街路照明灯具安全要求》GB7000.5-2005的要求</w:t>
            </w:r>
          </w:p>
        </w:tc>
        <w:tc>
          <w:tcPr>
            <w:tcW w:w="832"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强制要求</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3" w:type="dxa"/>
            <w:vMerge w:val="restart"/>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电磁兼容</w:t>
            </w:r>
          </w:p>
        </w:tc>
        <w:tc>
          <w:tcPr>
            <w:tcW w:w="1248"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谐波电流</w:t>
            </w:r>
          </w:p>
        </w:tc>
        <w:tc>
          <w:tcPr>
            <w:tcW w:w="5409"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必须符合现行国家标准《电磁兼容 限值 谐波电流发射限值(设备每相输入电流≤16A)》GB 17625.1-2012的要求</w:t>
            </w:r>
          </w:p>
        </w:tc>
        <w:tc>
          <w:tcPr>
            <w:tcW w:w="832"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强制要求</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3" w:type="dxa"/>
            <w:vMerge w:val="continue"/>
            <w:tcBorders>
              <w:top w:val="outset" w:color="808080" w:sz="6" w:space="0"/>
              <w:left w:val="outset" w:color="808080" w:sz="6" w:space="0"/>
              <w:bottom w:val="outset" w:color="808080" w:sz="6" w:space="0"/>
              <w:right w:val="outset" w:color="808080" w:sz="6" w:space="0"/>
            </w:tcBorders>
            <w:vAlign w:val="center"/>
          </w:tcPr>
          <w:p>
            <w:pPr>
              <w:widowControl/>
              <w:jc w:val="left"/>
              <w:rPr>
                <w:rFonts w:ascii="宋体" w:hAnsi="宋体" w:eastAsia="宋体" w:cs="宋体"/>
                <w:kern w:val="0"/>
                <w:sz w:val="24"/>
                <w:szCs w:val="24"/>
              </w:rPr>
            </w:pPr>
          </w:p>
        </w:tc>
        <w:tc>
          <w:tcPr>
            <w:tcW w:w="1248"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无线电骚扰特性</w:t>
            </w:r>
          </w:p>
        </w:tc>
        <w:tc>
          <w:tcPr>
            <w:tcW w:w="5409"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必须符合现行国家标准《电气照明和类似设备的无线电骚扰特性的限值和测量方法》GB 17743-2007的要求</w:t>
            </w:r>
          </w:p>
        </w:tc>
        <w:tc>
          <w:tcPr>
            <w:tcW w:w="832"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强制要求</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3" w:type="dxa"/>
            <w:vMerge w:val="continue"/>
            <w:tcBorders>
              <w:top w:val="outset" w:color="808080" w:sz="6" w:space="0"/>
              <w:left w:val="outset" w:color="808080" w:sz="6" w:space="0"/>
              <w:bottom w:val="outset" w:color="808080" w:sz="6" w:space="0"/>
              <w:right w:val="outset" w:color="808080" w:sz="6" w:space="0"/>
            </w:tcBorders>
            <w:vAlign w:val="center"/>
          </w:tcPr>
          <w:p>
            <w:pPr>
              <w:widowControl/>
              <w:jc w:val="left"/>
              <w:rPr>
                <w:rFonts w:ascii="宋体" w:hAnsi="宋体" w:eastAsia="宋体" w:cs="宋体"/>
                <w:kern w:val="0"/>
                <w:sz w:val="24"/>
                <w:szCs w:val="24"/>
              </w:rPr>
            </w:pPr>
          </w:p>
        </w:tc>
        <w:tc>
          <w:tcPr>
            <w:tcW w:w="1248"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浪涌(冲击)抗扰性</w:t>
            </w:r>
          </w:p>
        </w:tc>
        <w:tc>
          <w:tcPr>
            <w:tcW w:w="5409"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应符合现行国家标准《一般照明设备电磁兼容抗扰度要求》GB/T 18595-2001的要求</w:t>
            </w:r>
          </w:p>
        </w:tc>
        <w:tc>
          <w:tcPr>
            <w:tcW w:w="832"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推荐值</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3" w:type="dxa"/>
            <w:vMerge w:val="restart"/>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光性能</w:t>
            </w:r>
          </w:p>
        </w:tc>
        <w:tc>
          <w:tcPr>
            <w:tcW w:w="1248"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光通维持率</w:t>
            </w:r>
          </w:p>
        </w:tc>
        <w:tc>
          <w:tcPr>
            <w:tcW w:w="5409"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3000h 光通维持率不应低于 96%；6000h 光通维持率不应低于 92%</w:t>
            </w:r>
          </w:p>
        </w:tc>
        <w:tc>
          <w:tcPr>
            <w:tcW w:w="832"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推荐值</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3" w:type="dxa"/>
            <w:vMerge w:val="continue"/>
            <w:tcBorders>
              <w:top w:val="outset" w:color="808080" w:sz="6" w:space="0"/>
              <w:left w:val="outset" w:color="808080" w:sz="6" w:space="0"/>
              <w:bottom w:val="outset" w:color="808080" w:sz="6" w:space="0"/>
              <w:right w:val="outset" w:color="808080" w:sz="6" w:space="0"/>
            </w:tcBorders>
            <w:vAlign w:val="center"/>
          </w:tcPr>
          <w:p>
            <w:pPr>
              <w:widowControl/>
              <w:jc w:val="left"/>
              <w:rPr>
                <w:rFonts w:ascii="宋体" w:hAnsi="宋体" w:eastAsia="宋体" w:cs="宋体"/>
                <w:kern w:val="0"/>
                <w:sz w:val="24"/>
                <w:szCs w:val="24"/>
              </w:rPr>
            </w:pPr>
          </w:p>
        </w:tc>
        <w:tc>
          <w:tcPr>
            <w:tcW w:w="1248"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初始光效</w:t>
            </w:r>
          </w:p>
        </w:tc>
        <w:tc>
          <w:tcPr>
            <w:tcW w:w="5409"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路灯的初始光效不应低于100 lm/W</w:t>
            </w:r>
          </w:p>
        </w:tc>
        <w:tc>
          <w:tcPr>
            <w:tcW w:w="832"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推荐值</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3"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色性能</w:t>
            </w:r>
          </w:p>
        </w:tc>
        <w:tc>
          <w:tcPr>
            <w:tcW w:w="1248"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相关色温</w:t>
            </w:r>
          </w:p>
        </w:tc>
        <w:tc>
          <w:tcPr>
            <w:tcW w:w="5409"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路灯色温宜为2800K～5000K，且与声称值偏差不应超过10%</w:t>
            </w:r>
          </w:p>
        </w:tc>
        <w:tc>
          <w:tcPr>
            <w:tcW w:w="832"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推荐值</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3" w:type="dxa"/>
            <w:vMerge w:val="restart"/>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电性能</w:t>
            </w:r>
          </w:p>
        </w:tc>
        <w:tc>
          <w:tcPr>
            <w:tcW w:w="1248"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输入电压</w:t>
            </w:r>
          </w:p>
        </w:tc>
        <w:tc>
          <w:tcPr>
            <w:tcW w:w="5409"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交流输入能承受的电压波动范围至少为180～260V ac</w:t>
            </w:r>
          </w:p>
        </w:tc>
        <w:tc>
          <w:tcPr>
            <w:tcW w:w="832"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推荐值</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3" w:type="dxa"/>
            <w:vMerge w:val="continue"/>
            <w:tcBorders>
              <w:top w:val="outset" w:color="808080" w:sz="6" w:space="0"/>
              <w:left w:val="outset" w:color="808080" w:sz="6" w:space="0"/>
              <w:bottom w:val="outset" w:color="808080" w:sz="6" w:space="0"/>
              <w:right w:val="outset" w:color="808080" w:sz="6" w:space="0"/>
            </w:tcBorders>
            <w:vAlign w:val="center"/>
          </w:tcPr>
          <w:p>
            <w:pPr>
              <w:widowControl/>
              <w:jc w:val="left"/>
              <w:rPr>
                <w:rFonts w:ascii="宋体" w:hAnsi="宋体" w:eastAsia="宋体" w:cs="宋体"/>
                <w:kern w:val="0"/>
                <w:sz w:val="24"/>
                <w:szCs w:val="24"/>
              </w:rPr>
            </w:pPr>
          </w:p>
        </w:tc>
        <w:tc>
          <w:tcPr>
            <w:tcW w:w="1248"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有功功率</w:t>
            </w:r>
          </w:p>
        </w:tc>
        <w:tc>
          <w:tcPr>
            <w:tcW w:w="5409"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与标称值偏差不应超过10%</w:t>
            </w:r>
          </w:p>
        </w:tc>
        <w:tc>
          <w:tcPr>
            <w:tcW w:w="832"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推荐值</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3" w:type="dxa"/>
            <w:vMerge w:val="continue"/>
            <w:tcBorders>
              <w:top w:val="outset" w:color="808080" w:sz="6" w:space="0"/>
              <w:left w:val="outset" w:color="808080" w:sz="6" w:space="0"/>
              <w:bottom w:val="outset" w:color="808080" w:sz="6" w:space="0"/>
              <w:right w:val="outset" w:color="808080" w:sz="6" w:space="0"/>
            </w:tcBorders>
            <w:vAlign w:val="center"/>
          </w:tcPr>
          <w:p>
            <w:pPr>
              <w:widowControl/>
              <w:jc w:val="left"/>
              <w:rPr>
                <w:rFonts w:ascii="宋体" w:hAnsi="宋体" w:eastAsia="宋体" w:cs="宋体"/>
                <w:kern w:val="0"/>
                <w:sz w:val="24"/>
                <w:szCs w:val="24"/>
              </w:rPr>
            </w:pPr>
          </w:p>
        </w:tc>
        <w:tc>
          <w:tcPr>
            <w:tcW w:w="1248"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功率因数</w:t>
            </w:r>
          </w:p>
        </w:tc>
        <w:tc>
          <w:tcPr>
            <w:tcW w:w="5409"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路灯：PF≥0.90</w:t>
            </w:r>
          </w:p>
        </w:tc>
        <w:tc>
          <w:tcPr>
            <w:tcW w:w="832"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推荐值</w:t>
            </w:r>
          </w:p>
        </w:tc>
      </w:tr>
    </w:tbl>
    <w:p>
      <w:pPr>
        <w:widowControl/>
        <w:shd w:val="clear" w:color="auto" w:fill="FFFFFF"/>
        <w:spacing w:line="420" w:lineRule="atLeast"/>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4.1.2 在特殊场合使用的节能产品应满足特定的要求。</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4.1.3 节能产品应考虑运输的破坏性。</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4.1.4 节能产品应方便安装和维修。</w:t>
      </w:r>
    </w:p>
    <w:p>
      <w:pPr>
        <w:widowControl/>
        <w:shd w:val="clear" w:color="auto" w:fill="FFFFFF"/>
        <w:spacing w:before="420" w:after="420" w:line="420" w:lineRule="atLeast"/>
        <w:jc w:val="center"/>
        <w:rPr>
          <w:rFonts w:ascii="微软雅黑" w:hAnsi="微软雅黑" w:eastAsia="微软雅黑" w:cs="宋体"/>
          <w:b/>
          <w:bCs/>
          <w:color w:val="444444"/>
          <w:kern w:val="0"/>
          <w:szCs w:val="21"/>
        </w:rPr>
      </w:pPr>
      <w:r>
        <w:rPr>
          <w:rFonts w:hint="eastAsia" w:ascii="微软雅黑" w:hAnsi="微软雅黑" w:eastAsia="微软雅黑" w:cs="宋体"/>
          <w:b/>
          <w:bCs/>
          <w:color w:val="444444"/>
          <w:kern w:val="0"/>
          <w:szCs w:val="21"/>
        </w:rPr>
        <w:t>4.2 供配电系统技术要求</w:t>
      </w:r>
    </w:p>
    <w:p>
      <w:pPr>
        <w:widowControl/>
        <w:shd w:val="clear" w:color="auto" w:fill="FFFFFF"/>
        <w:spacing w:line="420" w:lineRule="atLeast"/>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t>4.2.1 供配电系统的设计应满足以下要求：</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1 应尽量使三相负载平衡，控制中线电流不超过相线电流；</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2 应降低系统阻抗，以减小电压损失；</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3 应采用电子整流器，不宜采用电感整流器。</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4.2.2 供电线缆应满足表4.2.2-1所示现行有关国家标准的要求。</w:t>
      </w:r>
    </w:p>
    <w:p>
      <w:pPr>
        <w:widowControl/>
        <w:shd w:val="clear" w:color="auto" w:fill="FFFFFF"/>
        <w:spacing w:before="420" w:line="420" w:lineRule="atLeast"/>
        <w:jc w:val="center"/>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t>表4.2.2-1 供电线缆技术要求</w:t>
      </w:r>
    </w:p>
    <w:tbl>
      <w:tblPr>
        <w:tblStyle w:val="7"/>
        <w:tblW w:w="8322" w:type="dxa"/>
        <w:jc w:val="center"/>
        <w:tblInd w:w="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833"/>
        <w:gridCol w:w="1664"/>
        <w:gridCol w:w="4993"/>
        <w:gridCol w:w="83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3"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考核内容</w:t>
            </w:r>
          </w:p>
        </w:tc>
        <w:tc>
          <w:tcPr>
            <w:tcW w:w="1664"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考核项目</w:t>
            </w:r>
          </w:p>
        </w:tc>
        <w:tc>
          <w:tcPr>
            <w:tcW w:w="4993"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技术要求</w:t>
            </w:r>
          </w:p>
        </w:tc>
        <w:tc>
          <w:tcPr>
            <w:tcW w:w="832"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执行等级</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3" w:type="dxa"/>
            <w:vMerge w:val="restart"/>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电线电缆特性</w:t>
            </w:r>
          </w:p>
        </w:tc>
        <w:tc>
          <w:tcPr>
            <w:tcW w:w="1664"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导体电阻</w:t>
            </w:r>
          </w:p>
        </w:tc>
        <w:tc>
          <w:tcPr>
            <w:tcW w:w="4993" w:type="dxa"/>
            <w:vMerge w:val="restart"/>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应符合现行国家标准《额定电压450/750V及以下橡皮绝缘电缆 第4部分：软线和软电缆》GB/T 5013.4-2008的要求</w:t>
            </w:r>
          </w:p>
        </w:tc>
        <w:tc>
          <w:tcPr>
            <w:tcW w:w="832" w:type="dxa"/>
            <w:vMerge w:val="restart"/>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推荐值</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3" w:type="dxa"/>
            <w:vMerge w:val="continue"/>
            <w:tcBorders>
              <w:top w:val="outset" w:color="808080" w:sz="6" w:space="0"/>
              <w:left w:val="outset" w:color="808080" w:sz="6" w:space="0"/>
              <w:bottom w:val="outset" w:color="808080" w:sz="6" w:space="0"/>
              <w:right w:val="outset" w:color="808080" w:sz="6" w:space="0"/>
            </w:tcBorders>
            <w:vAlign w:val="center"/>
          </w:tcPr>
          <w:p>
            <w:pPr>
              <w:widowControl/>
              <w:jc w:val="left"/>
              <w:rPr>
                <w:rFonts w:ascii="宋体" w:hAnsi="宋体" w:eastAsia="宋体" w:cs="宋体"/>
                <w:kern w:val="0"/>
                <w:sz w:val="24"/>
                <w:szCs w:val="24"/>
              </w:rPr>
            </w:pPr>
          </w:p>
        </w:tc>
        <w:tc>
          <w:tcPr>
            <w:tcW w:w="1664"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护套厚度和绝缘厚度</w:t>
            </w:r>
          </w:p>
        </w:tc>
        <w:tc>
          <w:tcPr>
            <w:tcW w:w="4993" w:type="dxa"/>
            <w:vMerge w:val="continue"/>
            <w:tcBorders>
              <w:top w:val="outset" w:color="808080" w:sz="6" w:space="0"/>
              <w:left w:val="outset" w:color="808080" w:sz="6" w:space="0"/>
              <w:bottom w:val="outset" w:color="808080" w:sz="6" w:space="0"/>
              <w:right w:val="outset" w:color="808080" w:sz="6" w:space="0"/>
            </w:tcBorders>
            <w:vAlign w:val="center"/>
          </w:tcPr>
          <w:p>
            <w:pPr>
              <w:widowControl/>
              <w:jc w:val="left"/>
              <w:rPr>
                <w:rFonts w:ascii="宋体" w:hAnsi="宋体" w:eastAsia="宋体" w:cs="宋体"/>
                <w:kern w:val="0"/>
                <w:sz w:val="24"/>
                <w:szCs w:val="24"/>
              </w:rPr>
            </w:pPr>
          </w:p>
        </w:tc>
        <w:tc>
          <w:tcPr>
            <w:tcW w:w="832" w:type="dxa"/>
            <w:vMerge w:val="continue"/>
            <w:tcBorders>
              <w:top w:val="outset" w:color="808080" w:sz="6" w:space="0"/>
              <w:left w:val="outset" w:color="808080" w:sz="6" w:space="0"/>
              <w:bottom w:val="outset" w:color="808080" w:sz="6" w:space="0"/>
              <w:right w:val="outset" w:color="808080" w:sz="6" w:space="0"/>
            </w:tcBorders>
            <w:vAlign w:val="center"/>
          </w:tcPr>
          <w:p>
            <w:pPr>
              <w:widowControl/>
              <w:jc w:val="left"/>
              <w:rPr>
                <w:rFonts w:ascii="宋体" w:hAnsi="宋体" w:eastAsia="宋体" w:cs="宋体"/>
                <w:kern w:val="0"/>
                <w:sz w:val="24"/>
                <w:szCs w:val="24"/>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3" w:type="dxa"/>
            <w:vMerge w:val="continue"/>
            <w:tcBorders>
              <w:top w:val="outset" w:color="808080" w:sz="6" w:space="0"/>
              <w:left w:val="outset" w:color="808080" w:sz="6" w:space="0"/>
              <w:bottom w:val="outset" w:color="808080" w:sz="6" w:space="0"/>
              <w:right w:val="outset" w:color="808080" w:sz="6" w:space="0"/>
            </w:tcBorders>
            <w:vAlign w:val="center"/>
          </w:tcPr>
          <w:p>
            <w:pPr>
              <w:widowControl/>
              <w:jc w:val="left"/>
              <w:rPr>
                <w:rFonts w:ascii="宋体" w:hAnsi="宋体" w:eastAsia="宋体" w:cs="宋体"/>
                <w:kern w:val="0"/>
                <w:sz w:val="24"/>
                <w:szCs w:val="24"/>
              </w:rPr>
            </w:pPr>
          </w:p>
        </w:tc>
        <w:tc>
          <w:tcPr>
            <w:tcW w:w="1664"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耐压</w:t>
            </w:r>
          </w:p>
        </w:tc>
        <w:tc>
          <w:tcPr>
            <w:tcW w:w="4993" w:type="dxa"/>
            <w:vMerge w:val="continue"/>
            <w:tcBorders>
              <w:top w:val="outset" w:color="808080" w:sz="6" w:space="0"/>
              <w:left w:val="outset" w:color="808080" w:sz="6" w:space="0"/>
              <w:bottom w:val="outset" w:color="808080" w:sz="6" w:space="0"/>
              <w:right w:val="outset" w:color="808080" w:sz="6" w:space="0"/>
            </w:tcBorders>
            <w:vAlign w:val="center"/>
          </w:tcPr>
          <w:p>
            <w:pPr>
              <w:widowControl/>
              <w:jc w:val="left"/>
              <w:rPr>
                <w:rFonts w:ascii="宋体" w:hAnsi="宋体" w:eastAsia="宋体" w:cs="宋体"/>
                <w:kern w:val="0"/>
                <w:sz w:val="24"/>
                <w:szCs w:val="24"/>
              </w:rPr>
            </w:pPr>
          </w:p>
        </w:tc>
        <w:tc>
          <w:tcPr>
            <w:tcW w:w="832" w:type="dxa"/>
            <w:vMerge w:val="continue"/>
            <w:tcBorders>
              <w:top w:val="outset" w:color="808080" w:sz="6" w:space="0"/>
              <w:left w:val="outset" w:color="808080" w:sz="6" w:space="0"/>
              <w:bottom w:val="outset" w:color="808080" w:sz="6" w:space="0"/>
              <w:right w:val="outset" w:color="808080" w:sz="6" w:space="0"/>
            </w:tcBorders>
            <w:vAlign w:val="center"/>
          </w:tcPr>
          <w:p>
            <w:pPr>
              <w:widowControl/>
              <w:jc w:val="left"/>
              <w:rPr>
                <w:rFonts w:ascii="宋体" w:hAnsi="宋体" w:eastAsia="宋体" w:cs="宋体"/>
                <w:kern w:val="0"/>
                <w:sz w:val="24"/>
                <w:szCs w:val="24"/>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3" w:type="dxa"/>
            <w:vMerge w:val="continue"/>
            <w:tcBorders>
              <w:top w:val="outset" w:color="808080" w:sz="6" w:space="0"/>
              <w:left w:val="outset" w:color="808080" w:sz="6" w:space="0"/>
              <w:bottom w:val="outset" w:color="808080" w:sz="6" w:space="0"/>
              <w:right w:val="outset" w:color="808080" w:sz="6" w:space="0"/>
            </w:tcBorders>
            <w:vAlign w:val="center"/>
          </w:tcPr>
          <w:p>
            <w:pPr>
              <w:widowControl/>
              <w:jc w:val="left"/>
              <w:rPr>
                <w:rFonts w:ascii="宋体" w:hAnsi="宋体" w:eastAsia="宋体" w:cs="宋体"/>
                <w:kern w:val="0"/>
                <w:sz w:val="24"/>
                <w:szCs w:val="24"/>
              </w:rPr>
            </w:pPr>
          </w:p>
        </w:tc>
        <w:tc>
          <w:tcPr>
            <w:tcW w:w="1664"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机械性能</w:t>
            </w:r>
          </w:p>
        </w:tc>
        <w:tc>
          <w:tcPr>
            <w:tcW w:w="4993" w:type="dxa"/>
            <w:vMerge w:val="continue"/>
            <w:tcBorders>
              <w:top w:val="outset" w:color="808080" w:sz="6" w:space="0"/>
              <w:left w:val="outset" w:color="808080" w:sz="6" w:space="0"/>
              <w:bottom w:val="outset" w:color="808080" w:sz="6" w:space="0"/>
              <w:right w:val="outset" w:color="808080" w:sz="6" w:space="0"/>
            </w:tcBorders>
            <w:vAlign w:val="center"/>
          </w:tcPr>
          <w:p>
            <w:pPr>
              <w:widowControl/>
              <w:jc w:val="left"/>
              <w:rPr>
                <w:rFonts w:ascii="宋体" w:hAnsi="宋体" w:eastAsia="宋体" w:cs="宋体"/>
                <w:kern w:val="0"/>
                <w:sz w:val="24"/>
                <w:szCs w:val="24"/>
              </w:rPr>
            </w:pPr>
          </w:p>
        </w:tc>
        <w:tc>
          <w:tcPr>
            <w:tcW w:w="832" w:type="dxa"/>
            <w:vMerge w:val="continue"/>
            <w:tcBorders>
              <w:top w:val="outset" w:color="808080" w:sz="6" w:space="0"/>
              <w:left w:val="outset" w:color="808080" w:sz="6" w:space="0"/>
              <w:bottom w:val="outset" w:color="808080" w:sz="6" w:space="0"/>
              <w:right w:val="outset" w:color="808080" w:sz="6" w:space="0"/>
            </w:tcBorders>
            <w:vAlign w:val="center"/>
          </w:tcPr>
          <w:p>
            <w:pPr>
              <w:widowControl/>
              <w:jc w:val="left"/>
              <w:rPr>
                <w:rFonts w:ascii="宋体" w:hAnsi="宋体" w:eastAsia="宋体" w:cs="宋体"/>
                <w:kern w:val="0"/>
                <w:sz w:val="24"/>
                <w:szCs w:val="24"/>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3" w:type="dxa"/>
            <w:vMerge w:val="continue"/>
            <w:tcBorders>
              <w:top w:val="outset" w:color="808080" w:sz="6" w:space="0"/>
              <w:left w:val="outset" w:color="808080" w:sz="6" w:space="0"/>
              <w:bottom w:val="outset" w:color="808080" w:sz="6" w:space="0"/>
              <w:right w:val="outset" w:color="808080" w:sz="6" w:space="0"/>
            </w:tcBorders>
            <w:vAlign w:val="center"/>
          </w:tcPr>
          <w:p>
            <w:pPr>
              <w:widowControl/>
              <w:jc w:val="left"/>
              <w:rPr>
                <w:rFonts w:ascii="宋体" w:hAnsi="宋体" w:eastAsia="宋体" w:cs="宋体"/>
                <w:kern w:val="0"/>
                <w:sz w:val="24"/>
                <w:szCs w:val="24"/>
              </w:rPr>
            </w:pPr>
          </w:p>
        </w:tc>
        <w:tc>
          <w:tcPr>
            <w:tcW w:w="1664" w:type="dxa"/>
            <w:tcBorders>
              <w:top w:val="outset" w:color="808080" w:sz="6" w:space="0"/>
              <w:left w:val="outset" w:color="808080" w:sz="6" w:space="0"/>
              <w:bottom w:val="outset" w:color="808080" w:sz="6" w:space="0"/>
              <w:right w:val="outset" w:color="808080"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不延燃试验</w:t>
            </w:r>
          </w:p>
        </w:tc>
        <w:tc>
          <w:tcPr>
            <w:tcW w:w="4993" w:type="dxa"/>
            <w:vMerge w:val="continue"/>
            <w:tcBorders>
              <w:top w:val="outset" w:color="808080" w:sz="6" w:space="0"/>
              <w:left w:val="outset" w:color="808080" w:sz="6" w:space="0"/>
              <w:bottom w:val="outset" w:color="808080" w:sz="6" w:space="0"/>
              <w:right w:val="outset" w:color="808080" w:sz="6" w:space="0"/>
            </w:tcBorders>
            <w:vAlign w:val="center"/>
          </w:tcPr>
          <w:p>
            <w:pPr>
              <w:widowControl/>
              <w:jc w:val="left"/>
              <w:rPr>
                <w:rFonts w:ascii="宋体" w:hAnsi="宋体" w:eastAsia="宋体" w:cs="宋体"/>
                <w:kern w:val="0"/>
                <w:sz w:val="24"/>
                <w:szCs w:val="24"/>
              </w:rPr>
            </w:pPr>
          </w:p>
        </w:tc>
        <w:tc>
          <w:tcPr>
            <w:tcW w:w="832" w:type="dxa"/>
            <w:vMerge w:val="continue"/>
            <w:tcBorders>
              <w:top w:val="outset" w:color="808080" w:sz="6" w:space="0"/>
              <w:left w:val="outset" w:color="808080" w:sz="6" w:space="0"/>
              <w:bottom w:val="outset" w:color="808080" w:sz="6" w:space="0"/>
              <w:right w:val="outset" w:color="808080" w:sz="6" w:space="0"/>
            </w:tcBorders>
            <w:vAlign w:val="center"/>
          </w:tcPr>
          <w:p>
            <w:pPr>
              <w:widowControl/>
              <w:jc w:val="left"/>
              <w:rPr>
                <w:rFonts w:ascii="宋体" w:hAnsi="宋体" w:eastAsia="宋体" w:cs="宋体"/>
                <w:kern w:val="0"/>
                <w:sz w:val="24"/>
                <w:szCs w:val="24"/>
              </w:rPr>
            </w:pPr>
          </w:p>
        </w:tc>
      </w:tr>
    </w:tbl>
    <w:p>
      <w:pPr>
        <w:widowControl/>
        <w:shd w:val="clear" w:color="auto" w:fill="FFFFFF"/>
        <w:spacing w:line="420" w:lineRule="atLeast"/>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4.2.3 配电箱应具备接地保护、防雷、机械性能优良、密封性好等功能。</w:t>
      </w:r>
    </w:p>
    <w:p>
      <w:pPr>
        <w:widowControl/>
        <w:shd w:val="clear" w:color="auto" w:fill="FFFFFF"/>
        <w:spacing w:before="420" w:after="420" w:line="420" w:lineRule="atLeast"/>
        <w:jc w:val="center"/>
        <w:rPr>
          <w:rFonts w:ascii="微软雅黑" w:hAnsi="微软雅黑" w:eastAsia="微软雅黑" w:cs="宋体"/>
          <w:b/>
          <w:bCs/>
          <w:color w:val="444444"/>
          <w:kern w:val="0"/>
          <w:szCs w:val="21"/>
        </w:rPr>
      </w:pPr>
      <w:r>
        <w:rPr>
          <w:rFonts w:hint="eastAsia" w:ascii="微软雅黑" w:hAnsi="微软雅黑" w:eastAsia="微软雅黑" w:cs="宋体"/>
          <w:b/>
          <w:bCs/>
          <w:color w:val="444444"/>
          <w:kern w:val="0"/>
          <w:szCs w:val="21"/>
        </w:rPr>
        <w:t>4.3 智能控制系统技术要求</w:t>
      </w:r>
    </w:p>
    <w:p>
      <w:pPr>
        <w:widowControl/>
        <w:shd w:val="clear" w:color="auto" w:fill="FFFFFF"/>
        <w:spacing w:line="420" w:lineRule="atLeast"/>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t>4.3.1 系统功能测试与硬件安全性检查程序和相关要求如下：</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1 逐个指令输入和多指令快速切换输入，考察智能控制系统的完成度和响应时间是否符合设计要求，并检查关联硬件是否存在安全隐患；</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2 一个月后再次考察，相同指令的完成度和响应时间是否较初次水平下降明显（建议不超过10%）；并检查各硬件是否存在安全隐患；</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3 每半年检查一次，持续跟踪智能控制系统运行情况。</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4.3.2 软件稳定性技术要求应包括下列内容：</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1 长时间运行及各种操作下，软件的稳定性以及各种性能指标的劣化趋势；</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2 多进程或多线程运行时的软件稳定性；</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3 不同操作系统，在不同宿主软件下运行的稳定性。</w:t>
      </w:r>
    </w:p>
    <w:p>
      <w:pPr>
        <w:widowControl/>
        <w:shd w:val="clear" w:color="auto" w:fill="FFFFFF"/>
        <w:spacing w:before="420" w:after="420" w:line="420" w:lineRule="atLeast"/>
        <w:jc w:val="center"/>
        <w:rPr>
          <w:rFonts w:ascii="微软雅黑" w:hAnsi="微软雅黑" w:eastAsia="微软雅黑" w:cs="宋体"/>
          <w:b/>
          <w:bCs/>
          <w:color w:val="444444"/>
          <w:kern w:val="0"/>
          <w:szCs w:val="21"/>
        </w:rPr>
      </w:pPr>
      <w:r>
        <w:rPr>
          <w:rFonts w:hint="eastAsia" w:ascii="微软雅黑" w:hAnsi="微软雅黑" w:eastAsia="微软雅黑" w:cs="宋体"/>
          <w:b/>
          <w:bCs/>
          <w:color w:val="444444"/>
          <w:kern w:val="0"/>
          <w:szCs w:val="21"/>
        </w:rPr>
        <w:t>4.4 项目总体技术要求</w:t>
      </w:r>
    </w:p>
    <w:p>
      <w:pPr>
        <w:widowControl/>
        <w:shd w:val="clear" w:color="auto" w:fill="FFFFFF"/>
        <w:spacing w:line="420" w:lineRule="atLeast"/>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t>4.4.1 在质保期内，道路照明主干道的亮灯率不应低于98%，次干道、支路的亮灯率不应低于96%。</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4.4.2 城市道路节能产品的维护系数不应低于0.7。</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4.4.3 实际节能量与理论节能量计算如下：</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1 对比项目实施前后，同一季度电量的实际节能量可按下式计算：</w:t>
      </w:r>
    </w:p>
    <w:p>
      <w:pPr>
        <w:widowControl/>
        <w:shd w:val="clear" w:color="auto" w:fill="FFFFFF"/>
        <w:spacing w:line="420" w:lineRule="atLeast"/>
        <w:jc w:val="center"/>
        <w:rPr>
          <w:rFonts w:ascii="微软雅黑" w:hAnsi="微软雅黑" w:eastAsia="微软雅黑" w:cs="宋体"/>
          <w:color w:val="444444"/>
          <w:kern w:val="0"/>
          <w:szCs w:val="21"/>
        </w:rPr>
      </w:pPr>
      <w:r>
        <w:rPr>
          <w:rFonts w:ascii="微软雅黑" w:hAnsi="微软雅黑" w:eastAsia="微软雅黑" w:cs="宋体"/>
          <w:color w:val="444444"/>
          <w:kern w:val="0"/>
          <w:szCs w:val="21"/>
        </w:rPr>
        <w:drawing>
          <wp:inline distT="0" distB="0" distL="0" distR="0">
            <wp:extent cx="2876550" cy="571500"/>
            <wp:effectExtent l="19050" t="0" r="0" b="0"/>
            <wp:docPr id="10" name="图片 10" descr="http://www.ldhyw.com/zcfg/images/4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www.ldhyw.com/zcfg/images/433-1.jpg"/>
                    <pic:cNvPicPr>
                      <a:picLocks noChangeAspect="1" noChangeArrowheads="1"/>
                    </pic:cNvPicPr>
                  </pic:nvPicPr>
                  <pic:blipFill>
                    <a:blip r:embed="rId4" cstate="print"/>
                    <a:srcRect/>
                    <a:stretch>
                      <a:fillRect/>
                    </a:stretch>
                  </pic:blipFill>
                  <pic:spPr>
                    <a:xfrm>
                      <a:off x="0" y="0"/>
                      <a:ext cx="2876550" cy="571500"/>
                    </a:xfrm>
                    <a:prstGeom prst="rect">
                      <a:avLst/>
                    </a:prstGeom>
                    <a:noFill/>
                    <a:ln w="9525">
                      <a:noFill/>
                      <a:miter lim="800000"/>
                      <a:headEnd/>
                      <a:tailEnd/>
                    </a:ln>
                  </pic:spPr>
                </pic:pic>
              </a:graphicData>
            </a:graphic>
          </wp:inline>
        </w:drawing>
      </w:r>
    </w:p>
    <w:p>
      <w:pPr>
        <w:widowControl/>
        <w:shd w:val="clear" w:color="auto" w:fill="FFFFFF"/>
        <w:spacing w:line="420" w:lineRule="atLeast"/>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t>　　式中：W</w:t>
      </w:r>
      <w:r>
        <w:rPr>
          <w:rFonts w:hint="eastAsia" w:ascii="微软雅黑" w:hAnsi="微软雅黑" w:eastAsia="微软雅黑" w:cs="宋体"/>
          <w:color w:val="444444"/>
          <w:kern w:val="0"/>
          <w:szCs w:val="21"/>
          <w:vertAlign w:val="subscript"/>
        </w:rPr>
        <w:t>S</w:t>
      </w:r>
      <w:r>
        <w:rPr>
          <w:rFonts w:hint="eastAsia" w:ascii="微软雅黑" w:hAnsi="微软雅黑" w:eastAsia="微软雅黑" w:cs="宋体"/>
          <w:color w:val="444444"/>
          <w:kern w:val="0"/>
        </w:rPr>
        <w:t> </w:t>
      </w:r>
      <w:r>
        <w:rPr>
          <w:rFonts w:hint="eastAsia" w:ascii="微软雅黑" w:hAnsi="微软雅黑" w:eastAsia="微软雅黑" w:cs="宋体"/>
          <w:color w:val="444444"/>
          <w:kern w:val="0"/>
          <w:szCs w:val="21"/>
        </w:rPr>
        <w:t>— 同一季度电量的实际节能量；</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W</w:t>
      </w:r>
      <w:r>
        <w:rPr>
          <w:rFonts w:hint="eastAsia" w:ascii="微软雅黑" w:hAnsi="微软雅黑" w:eastAsia="微软雅黑" w:cs="宋体"/>
          <w:color w:val="444444"/>
          <w:kern w:val="0"/>
          <w:szCs w:val="21"/>
          <w:vertAlign w:val="subscript"/>
        </w:rPr>
        <w:t>BL</w:t>
      </w:r>
      <w:r>
        <w:rPr>
          <w:rFonts w:hint="eastAsia" w:ascii="微软雅黑" w:hAnsi="微软雅黑" w:eastAsia="微软雅黑" w:cs="宋体"/>
          <w:color w:val="444444"/>
          <w:kern w:val="0"/>
        </w:rPr>
        <w:t> </w:t>
      </w:r>
      <w:r>
        <w:rPr>
          <w:rFonts w:hint="eastAsia" w:ascii="微软雅黑" w:hAnsi="微软雅黑" w:eastAsia="微软雅黑" w:cs="宋体"/>
          <w:color w:val="444444"/>
          <w:kern w:val="0"/>
          <w:szCs w:val="21"/>
        </w:rPr>
        <w:t>— 改造前某季度电量；</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W</w:t>
      </w:r>
      <w:r>
        <w:rPr>
          <w:rFonts w:hint="eastAsia" w:ascii="微软雅黑" w:hAnsi="微软雅黑" w:eastAsia="微软雅黑" w:cs="宋体"/>
          <w:color w:val="444444"/>
          <w:kern w:val="0"/>
          <w:szCs w:val="21"/>
          <w:vertAlign w:val="subscript"/>
        </w:rPr>
        <w:t>P</w:t>
      </w:r>
      <w:r>
        <w:rPr>
          <w:rFonts w:hint="eastAsia" w:ascii="微软雅黑" w:hAnsi="微软雅黑" w:eastAsia="微软雅黑" w:cs="宋体"/>
          <w:color w:val="444444"/>
          <w:kern w:val="0"/>
        </w:rPr>
        <w:t> </w:t>
      </w:r>
      <w:r>
        <w:rPr>
          <w:rFonts w:hint="eastAsia" w:ascii="微软雅黑" w:hAnsi="微软雅黑" w:eastAsia="微软雅黑" w:cs="宋体"/>
          <w:color w:val="444444"/>
          <w:kern w:val="0"/>
          <w:szCs w:val="21"/>
        </w:rPr>
        <w:t>— 改造后同季度电量。</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2 若仅考虑灯具替换前后的功率变化，每种型号灯具的单灯节能量可按下式计算：</w:t>
      </w:r>
    </w:p>
    <w:p>
      <w:pPr>
        <w:widowControl/>
        <w:shd w:val="clear" w:color="auto" w:fill="FFFFFF"/>
        <w:spacing w:line="420" w:lineRule="atLeast"/>
        <w:jc w:val="center"/>
        <w:rPr>
          <w:rFonts w:ascii="微软雅黑" w:hAnsi="微软雅黑" w:eastAsia="微软雅黑" w:cs="宋体"/>
          <w:color w:val="444444"/>
          <w:kern w:val="0"/>
          <w:szCs w:val="21"/>
        </w:rPr>
      </w:pPr>
      <w:r>
        <w:rPr>
          <w:rFonts w:ascii="微软雅黑" w:hAnsi="微软雅黑" w:eastAsia="微软雅黑" w:cs="宋体"/>
          <w:color w:val="444444"/>
          <w:kern w:val="0"/>
          <w:szCs w:val="21"/>
        </w:rPr>
        <w:drawing>
          <wp:inline distT="0" distB="0" distL="0" distR="0">
            <wp:extent cx="3771900" cy="571500"/>
            <wp:effectExtent l="19050" t="0" r="0" b="0"/>
            <wp:docPr id="11" name="图片 11" descr="http://www.ldhyw.com/zcfg/images/4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www.ldhyw.com/zcfg/images/433-2.jpg"/>
                    <pic:cNvPicPr>
                      <a:picLocks noChangeAspect="1" noChangeArrowheads="1"/>
                    </pic:cNvPicPr>
                  </pic:nvPicPr>
                  <pic:blipFill>
                    <a:blip r:embed="rId5" cstate="print"/>
                    <a:srcRect/>
                    <a:stretch>
                      <a:fillRect/>
                    </a:stretch>
                  </pic:blipFill>
                  <pic:spPr>
                    <a:xfrm>
                      <a:off x="0" y="0"/>
                      <a:ext cx="3771900" cy="571500"/>
                    </a:xfrm>
                    <a:prstGeom prst="rect">
                      <a:avLst/>
                    </a:prstGeom>
                    <a:noFill/>
                    <a:ln w="9525">
                      <a:noFill/>
                      <a:miter lim="800000"/>
                      <a:headEnd/>
                      <a:tailEnd/>
                    </a:ln>
                  </pic:spPr>
                </pic:pic>
              </a:graphicData>
            </a:graphic>
          </wp:inline>
        </w:drawing>
      </w:r>
    </w:p>
    <w:p>
      <w:pPr>
        <w:widowControl/>
        <w:shd w:val="clear" w:color="auto" w:fill="FFFFFF"/>
        <w:spacing w:line="420" w:lineRule="atLeast"/>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t>　　式中：W</w:t>
      </w:r>
      <w:r>
        <w:rPr>
          <w:rFonts w:hint="eastAsia" w:ascii="微软雅黑" w:hAnsi="微软雅黑" w:eastAsia="微软雅黑" w:cs="宋体"/>
          <w:color w:val="444444"/>
          <w:kern w:val="0"/>
          <w:szCs w:val="21"/>
          <w:vertAlign w:val="subscript"/>
        </w:rPr>
        <w:t>R</w:t>
      </w:r>
      <w:r>
        <w:rPr>
          <w:rFonts w:hint="eastAsia" w:ascii="微软雅黑" w:hAnsi="微软雅黑" w:eastAsia="微软雅黑" w:cs="宋体"/>
          <w:color w:val="444444"/>
          <w:kern w:val="0"/>
        </w:rPr>
        <w:t> </w:t>
      </w:r>
      <w:r>
        <w:rPr>
          <w:rFonts w:hint="eastAsia" w:ascii="微软雅黑" w:hAnsi="微软雅黑" w:eastAsia="微软雅黑" w:cs="宋体"/>
          <w:color w:val="444444"/>
          <w:kern w:val="0"/>
          <w:szCs w:val="21"/>
        </w:rPr>
        <w:t>— 某型号灯具单灯节能量；</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P</w:t>
      </w:r>
      <w:r>
        <w:rPr>
          <w:rFonts w:hint="eastAsia" w:ascii="微软雅黑" w:hAnsi="微软雅黑" w:eastAsia="微软雅黑" w:cs="宋体"/>
          <w:color w:val="444444"/>
          <w:kern w:val="0"/>
          <w:szCs w:val="21"/>
          <w:vertAlign w:val="subscript"/>
        </w:rPr>
        <w:t>O</w:t>
      </w:r>
      <w:r>
        <w:rPr>
          <w:rFonts w:hint="eastAsia" w:ascii="微软雅黑" w:hAnsi="微软雅黑" w:eastAsia="微软雅黑" w:cs="宋体"/>
          <w:color w:val="444444"/>
          <w:kern w:val="0"/>
        </w:rPr>
        <w:t> </w:t>
      </w:r>
      <w:r>
        <w:rPr>
          <w:rFonts w:hint="eastAsia" w:ascii="微软雅黑" w:hAnsi="微软雅黑" w:eastAsia="微软雅黑" w:cs="宋体"/>
          <w:color w:val="444444"/>
          <w:kern w:val="0"/>
          <w:szCs w:val="21"/>
        </w:rPr>
        <w:t>— 改造前灯具功率；</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P</w:t>
      </w:r>
      <w:r>
        <w:rPr>
          <w:rFonts w:hint="eastAsia" w:ascii="微软雅黑" w:hAnsi="微软雅黑" w:eastAsia="微软雅黑" w:cs="宋体"/>
          <w:color w:val="444444"/>
          <w:kern w:val="0"/>
          <w:szCs w:val="21"/>
          <w:vertAlign w:val="subscript"/>
        </w:rPr>
        <w:t>N</w:t>
      </w:r>
      <w:r>
        <w:rPr>
          <w:rFonts w:hint="eastAsia" w:ascii="微软雅黑" w:hAnsi="微软雅黑" w:eastAsia="微软雅黑" w:cs="宋体"/>
          <w:color w:val="444444"/>
          <w:kern w:val="0"/>
        </w:rPr>
        <w:t> </w:t>
      </w:r>
      <w:r>
        <w:rPr>
          <w:rFonts w:hint="eastAsia" w:ascii="微软雅黑" w:hAnsi="微软雅黑" w:eastAsia="微软雅黑" w:cs="宋体"/>
          <w:color w:val="444444"/>
          <w:kern w:val="0"/>
          <w:szCs w:val="21"/>
        </w:rPr>
        <w:t>— 改造后灯具功率；</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t — 某型号灯具正常工作时间。</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再根据整个项目各型号灯具的装灯数量，按下式计算得出理论节能量：</w:t>
      </w:r>
    </w:p>
    <w:p>
      <w:pPr>
        <w:widowControl/>
        <w:shd w:val="clear" w:color="auto" w:fill="FFFFFF"/>
        <w:spacing w:line="420" w:lineRule="atLeast"/>
        <w:jc w:val="center"/>
        <w:rPr>
          <w:rFonts w:ascii="微软雅黑" w:hAnsi="微软雅黑" w:eastAsia="微软雅黑" w:cs="宋体"/>
          <w:color w:val="444444"/>
          <w:kern w:val="0"/>
          <w:szCs w:val="21"/>
        </w:rPr>
      </w:pPr>
      <w:r>
        <w:rPr>
          <w:rFonts w:ascii="微软雅黑" w:hAnsi="微软雅黑" w:eastAsia="微软雅黑" w:cs="宋体"/>
          <w:color w:val="444444"/>
          <w:kern w:val="0"/>
          <w:szCs w:val="21"/>
        </w:rPr>
        <w:drawing>
          <wp:inline distT="0" distB="0" distL="0" distR="0">
            <wp:extent cx="4314825" cy="762000"/>
            <wp:effectExtent l="19050" t="0" r="9525" b="0"/>
            <wp:docPr id="12" name="图片 12" descr="http://www.ldhyw.com/zcfg/images/4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www.ldhyw.com/zcfg/images/433-3.jpg"/>
                    <pic:cNvPicPr>
                      <a:picLocks noChangeAspect="1" noChangeArrowheads="1"/>
                    </pic:cNvPicPr>
                  </pic:nvPicPr>
                  <pic:blipFill>
                    <a:blip r:embed="rId6" cstate="print"/>
                    <a:srcRect/>
                    <a:stretch>
                      <a:fillRect/>
                    </a:stretch>
                  </pic:blipFill>
                  <pic:spPr>
                    <a:xfrm>
                      <a:off x="0" y="0"/>
                      <a:ext cx="4314825" cy="762000"/>
                    </a:xfrm>
                    <a:prstGeom prst="rect">
                      <a:avLst/>
                    </a:prstGeom>
                    <a:noFill/>
                    <a:ln w="9525">
                      <a:noFill/>
                      <a:miter lim="800000"/>
                      <a:headEnd/>
                      <a:tailEnd/>
                    </a:ln>
                  </pic:spPr>
                </pic:pic>
              </a:graphicData>
            </a:graphic>
          </wp:inline>
        </w:drawing>
      </w:r>
    </w:p>
    <w:p>
      <w:pPr>
        <w:widowControl/>
        <w:shd w:val="clear" w:color="auto" w:fill="FFFFFF"/>
        <w:spacing w:after="240" w:line="420" w:lineRule="atLeast"/>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t>　　式中：W</w:t>
      </w:r>
      <w:r>
        <w:rPr>
          <w:rFonts w:hint="eastAsia" w:ascii="微软雅黑" w:hAnsi="微软雅黑" w:eastAsia="微软雅黑" w:cs="宋体"/>
          <w:color w:val="444444"/>
          <w:kern w:val="0"/>
          <w:szCs w:val="21"/>
          <w:vertAlign w:val="subscript"/>
        </w:rPr>
        <w:t>S</w:t>
      </w:r>
      <w:r>
        <w:rPr>
          <w:rFonts w:hint="eastAsia" w:ascii="微软雅黑" w:hAnsi="微软雅黑" w:eastAsia="微软雅黑" w:cs="宋体"/>
          <w:color w:val="444444"/>
          <w:kern w:val="0"/>
        </w:rPr>
        <w:t> </w:t>
      </w:r>
      <w:r>
        <w:rPr>
          <w:rFonts w:hint="eastAsia" w:ascii="微软雅黑" w:hAnsi="微软雅黑" w:eastAsia="微软雅黑" w:cs="宋体"/>
          <w:color w:val="444444"/>
          <w:kern w:val="0"/>
          <w:szCs w:val="21"/>
        </w:rPr>
        <w:t>— 项目理论节能量；</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T — 整个项目安装灯具型号的种类数；</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W</w:t>
      </w:r>
      <w:r>
        <w:rPr>
          <w:rFonts w:hint="eastAsia" w:ascii="微软雅黑" w:hAnsi="微软雅黑" w:eastAsia="微软雅黑" w:cs="宋体"/>
          <w:color w:val="444444"/>
          <w:kern w:val="0"/>
          <w:szCs w:val="21"/>
          <w:vertAlign w:val="subscript"/>
        </w:rPr>
        <w:t>Ri</w:t>
      </w:r>
      <w:r>
        <w:rPr>
          <w:rFonts w:hint="eastAsia" w:ascii="微软雅黑" w:hAnsi="微软雅黑" w:eastAsia="微软雅黑" w:cs="宋体"/>
          <w:color w:val="444444"/>
          <w:kern w:val="0"/>
        </w:rPr>
        <w:t> </w:t>
      </w:r>
      <w:r>
        <w:rPr>
          <w:rFonts w:hint="eastAsia" w:ascii="微软雅黑" w:hAnsi="微软雅黑" w:eastAsia="微软雅黑" w:cs="宋体"/>
          <w:color w:val="444444"/>
          <w:kern w:val="0"/>
          <w:szCs w:val="21"/>
        </w:rPr>
        <w:t>— 第 i 种型号灯具的单灯节能量；</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N</w:t>
      </w:r>
      <w:r>
        <w:rPr>
          <w:rFonts w:hint="eastAsia" w:ascii="微软雅黑" w:hAnsi="微软雅黑" w:eastAsia="微软雅黑" w:cs="宋体"/>
          <w:color w:val="444444"/>
          <w:kern w:val="0"/>
          <w:szCs w:val="21"/>
          <w:vertAlign w:val="subscript"/>
        </w:rPr>
        <w:t>i</w:t>
      </w:r>
      <w:r>
        <w:rPr>
          <w:rFonts w:hint="eastAsia" w:ascii="微软雅黑" w:hAnsi="微软雅黑" w:eastAsia="微软雅黑" w:cs="宋体"/>
          <w:color w:val="444444"/>
          <w:kern w:val="0"/>
        </w:rPr>
        <w:t> </w:t>
      </w:r>
      <w:r>
        <w:rPr>
          <w:rFonts w:hint="eastAsia" w:ascii="微软雅黑" w:hAnsi="微软雅黑" w:eastAsia="微软雅黑" w:cs="宋体"/>
          <w:color w:val="444444"/>
          <w:kern w:val="0"/>
          <w:szCs w:val="21"/>
        </w:rPr>
        <w:t>— 安装第 i 种型号灯具的总数量。</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若存在项目实施前下半夜为全功率亮灯，实施后存在半功率或间隔等非全功率亮灯情况，应协商修正单灯理论节能量计算公式。</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4.4.4 项目全面实施后，其节能量应达到实施前设定的要求值。</w:t>
      </w:r>
    </w:p>
    <w:p>
      <w:pPr>
        <w:widowControl/>
        <w:shd w:val="clear" w:color="auto" w:fill="FFFFFF"/>
        <w:jc w:val="left"/>
        <w:rPr>
          <w:rFonts w:ascii="微软雅黑" w:hAnsi="微软雅黑" w:eastAsia="微软雅黑" w:cs="宋体"/>
          <w:color w:val="444444"/>
          <w:kern w:val="0"/>
          <w:szCs w:val="21"/>
        </w:rPr>
      </w:pPr>
    </w:p>
    <w:p>
      <w:pPr>
        <w:widowControl/>
        <w:shd w:val="clear" w:color="auto" w:fill="FFFFFF"/>
        <w:jc w:val="left"/>
        <w:rPr>
          <w:rFonts w:ascii="微软雅黑" w:hAnsi="微软雅黑" w:eastAsia="微软雅黑" w:cs="宋体"/>
          <w:color w:val="444444"/>
          <w:kern w:val="0"/>
          <w:szCs w:val="21"/>
        </w:rPr>
      </w:pPr>
    </w:p>
    <w:p>
      <w:pPr>
        <w:widowControl/>
        <w:shd w:val="clear" w:color="auto" w:fill="FFFFFF"/>
        <w:jc w:val="left"/>
        <w:rPr>
          <w:rFonts w:ascii="微软雅黑" w:hAnsi="微软雅黑" w:eastAsia="微软雅黑" w:cs="宋体"/>
          <w:color w:val="444444"/>
          <w:kern w:val="0"/>
          <w:szCs w:val="21"/>
        </w:rPr>
      </w:pPr>
    </w:p>
    <w:p>
      <w:pPr>
        <w:widowControl/>
        <w:shd w:val="clear" w:color="auto" w:fill="FFFFFF"/>
        <w:spacing w:before="420" w:after="420" w:line="420" w:lineRule="atLeast"/>
        <w:jc w:val="center"/>
        <w:outlineLvl w:val="2"/>
        <w:rPr>
          <w:rFonts w:ascii="微软雅黑" w:hAnsi="微软雅黑" w:eastAsia="微软雅黑" w:cs="宋体"/>
          <w:b/>
          <w:bCs/>
          <w:color w:val="444444"/>
          <w:kern w:val="0"/>
          <w:sz w:val="27"/>
          <w:szCs w:val="27"/>
        </w:rPr>
      </w:pPr>
      <w:r>
        <w:rPr>
          <w:rFonts w:hint="eastAsia" w:ascii="微软雅黑" w:hAnsi="微软雅黑" w:eastAsia="微软雅黑" w:cs="宋体"/>
          <w:b/>
          <w:bCs/>
          <w:color w:val="444444"/>
          <w:kern w:val="0"/>
          <w:sz w:val="27"/>
          <w:szCs w:val="27"/>
        </w:rPr>
        <w:t>5 用能状况评估程序</w:t>
      </w:r>
    </w:p>
    <w:p>
      <w:pPr>
        <w:widowControl/>
        <w:shd w:val="clear" w:color="auto" w:fill="FFFFFF"/>
        <w:spacing w:line="420" w:lineRule="atLeast"/>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t>5.0.1 用能单位应通过招标或指定的形式确定节能服务公司、设计单位、监理单位、施工单位、评估单位，并确定合同执行方式及付款方式。</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5.0.2 用能单位、节能服务公司和评估单位应确定整个项目采取怎样的节能量计算方式（理论还是实际）进行考核。</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5.0.3 评估单位应在监理的监督下抽检部分道路的照明质量以及单灯实际功耗，测试记录见附表1和附表2。</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5.0.4 设计单位应综合考虑用能单位和现行行业标准《城市道路照明设计标准》 CJJ45-2006对项目所有道路照明质量的要求，设计安装施工图。</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5.0.5 监理单位可针对每个型号的节能产品抽取1～3台到具备相应检测资质的检测单位进行安全、电磁兼容以及性能测试。</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5.0.6 待评估单位确认送检产品符合标书技术要求和表4.1.1-1所列相关国家标准要求后，施工单位应根据安装施工图和产品说明书进行安装。</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5.0.7 全面安装完一个月后，评估单位与监理单位应对项目实施后路面的照明质量和单灯实际功耗进行抽检。</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5.0.8 评估单位与监理单位应计算节能量。</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5.0.9 安装完成一年后，进入工程监测期。评估单位应在改造合同服务期内执行照明质量跟踪测试。</w:t>
      </w:r>
    </w:p>
    <w:p>
      <w:pPr>
        <w:widowControl/>
        <w:shd w:val="clear" w:color="auto" w:fill="FFFFFF"/>
        <w:spacing w:line="420" w:lineRule="atLeast"/>
        <w:jc w:val="left"/>
        <w:rPr>
          <w:rFonts w:ascii="微软雅黑" w:hAnsi="微软雅黑" w:eastAsia="微软雅黑" w:cs="宋体"/>
          <w:color w:val="444444"/>
          <w:kern w:val="0"/>
          <w:szCs w:val="21"/>
        </w:rPr>
      </w:pPr>
    </w:p>
    <w:p>
      <w:pPr>
        <w:widowControl/>
        <w:shd w:val="clear" w:color="auto" w:fill="FFFFFF"/>
        <w:spacing w:line="420" w:lineRule="atLeast"/>
        <w:jc w:val="left"/>
        <w:rPr>
          <w:rFonts w:ascii="微软雅黑" w:hAnsi="微软雅黑" w:eastAsia="微软雅黑" w:cs="宋体"/>
          <w:color w:val="444444"/>
          <w:kern w:val="0"/>
          <w:szCs w:val="21"/>
        </w:rPr>
      </w:pPr>
    </w:p>
    <w:p>
      <w:pPr>
        <w:widowControl/>
        <w:shd w:val="clear" w:color="auto" w:fill="FFFFFF"/>
        <w:spacing w:line="420" w:lineRule="atLeast"/>
        <w:jc w:val="left"/>
        <w:rPr>
          <w:rFonts w:ascii="微软雅黑" w:hAnsi="微软雅黑" w:eastAsia="微软雅黑" w:cs="宋体"/>
          <w:color w:val="444444"/>
          <w:kern w:val="0"/>
          <w:szCs w:val="21"/>
        </w:rPr>
      </w:pPr>
    </w:p>
    <w:p>
      <w:pPr>
        <w:widowControl/>
        <w:shd w:val="clear" w:color="auto" w:fill="FFFFFF"/>
        <w:spacing w:before="420" w:line="420" w:lineRule="atLeast"/>
        <w:jc w:val="center"/>
        <w:outlineLvl w:val="2"/>
        <w:rPr>
          <w:rFonts w:ascii="微软雅黑" w:hAnsi="微软雅黑" w:eastAsia="微软雅黑" w:cs="宋体"/>
          <w:b/>
          <w:bCs/>
          <w:color w:val="444444"/>
          <w:kern w:val="0"/>
          <w:sz w:val="27"/>
          <w:szCs w:val="27"/>
        </w:rPr>
      </w:pPr>
      <w:r>
        <w:rPr>
          <w:rFonts w:hint="eastAsia" w:ascii="微软雅黑" w:hAnsi="微软雅黑" w:eastAsia="微软雅黑" w:cs="宋体"/>
          <w:b/>
          <w:bCs/>
          <w:color w:val="444444"/>
          <w:kern w:val="0"/>
          <w:sz w:val="27"/>
          <w:szCs w:val="27"/>
        </w:rPr>
        <w:t>6　城市照明节能措施</w:t>
      </w:r>
    </w:p>
    <w:p>
      <w:pPr>
        <w:widowControl/>
        <w:shd w:val="clear" w:color="auto" w:fill="FFFFFF"/>
        <w:spacing w:before="420" w:after="420" w:line="420" w:lineRule="atLeast"/>
        <w:jc w:val="center"/>
        <w:rPr>
          <w:rFonts w:ascii="微软雅黑" w:hAnsi="微软雅黑" w:eastAsia="微软雅黑" w:cs="宋体"/>
          <w:b/>
          <w:bCs/>
          <w:color w:val="444444"/>
          <w:kern w:val="0"/>
          <w:szCs w:val="21"/>
        </w:rPr>
      </w:pPr>
      <w:r>
        <w:rPr>
          <w:rFonts w:hint="eastAsia" w:ascii="微软雅黑" w:hAnsi="微软雅黑" w:eastAsia="微软雅黑" w:cs="宋体"/>
          <w:b/>
          <w:bCs/>
          <w:color w:val="444444"/>
          <w:kern w:val="0"/>
          <w:szCs w:val="21"/>
        </w:rPr>
        <w:t>6.1 一般要求</w:t>
      </w:r>
    </w:p>
    <w:p>
      <w:pPr>
        <w:widowControl/>
        <w:shd w:val="clear" w:color="auto" w:fill="FFFFFF"/>
        <w:spacing w:line="420" w:lineRule="atLeast"/>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t>6.1.1 城市照明合同能源管理项目应加强用电管理，应采取技术先进可行、经济合理的节能措施，节能设备和节能控制系统应可以有效减少能耗、合理利用电能。</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6.1.2 城市照明合同能源管理可采用的节能措施包括：选用高效光源和高效灯具替代老旧设施、提高照明器具的利用系数和维护系数、采用合理的道路照明标准和照明方式进行改造、采用合理的景观照明表现手法代替大面积投光照明、采用精准的自动控制装置进行合理控制代替简易的时控和光控结合的开闭装置等。</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6.1.3 城市照明节能措施实施前，照明节能设备应通过国家强制（或自愿）型认证和节能认证；节能措施实施后，现场照明质量应符合现行行业标准《城市道路照明设计标准》 CJJ45-2006的要求。</w:t>
      </w:r>
    </w:p>
    <w:p>
      <w:pPr>
        <w:widowControl/>
        <w:shd w:val="clear" w:color="auto" w:fill="FFFFFF"/>
        <w:spacing w:before="420" w:after="420" w:line="420" w:lineRule="atLeast"/>
        <w:jc w:val="center"/>
        <w:rPr>
          <w:rFonts w:ascii="微软雅黑" w:hAnsi="微软雅黑" w:eastAsia="微软雅黑" w:cs="宋体"/>
          <w:b/>
          <w:bCs/>
          <w:color w:val="444444"/>
          <w:kern w:val="0"/>
          <w:szCs w:val="21"/>
        </w:rPr>
      </w:pPr>
      <w:r>
        <w:rPr>
          <w:rFonts w:hint="eastAsia" w:ascii="微软雅黑" w:hAnsi="微软雅黑" w:eastAsia="微软雅黑" w:cs="宋体"/>
          <w:b/>
          <w:bCs/>
          <w:color w:val="444444"/>
          <w:kern w:val="0"/>
          <w:szCs w:val="21"/>
        </w:rPr>
        <w:t>6.2 照明设备节能</w:t>
      </w:r>
    </w:p>
    <w:p>
      <w:pPr>
        <w:widowControl/>
        <w:shd w:val="clear" w:color="auto" w:fill="FFFFFF"/>
        <w:spacing w:after="240" w:line="420" w:lineRule="atLeast"/>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t>6.2.1 高效照明节能设备可包括下列内容：</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节能灯(稀土三基色紧凑型荧光灯T5、T8等)、LED灯、OLED灯、高光效高压钠灯、低压钠灯、金属卤化物灯、白光源高强度气体放电灯等。</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6.2.2 高效灯具及附属装置节能措施应满足以下要求：</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1 使用节能型荧光灯光源，应消除电流热效应，提高荧光粉的能量转换效率；</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2 使用LED光源，应采用光效高、能耗低、寿命长、形状多变、可靠性强且环保的产品；</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3 使用高效灯具，应采用科学合理的光源形状，通过各种技术手段提高反光器的反射率及灯罩的透光率，降低光学系统的性能衰减，优化光场分布，提高灯具的效率和寿命；</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4 使用高效配套电器，采用低损耗、高效率、可靠的配套电气设备；</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5 电容补偿应针对气体放电灯基本电路功率因数较低的特点，采用在其电路中并联电容，补偿无功，减少线路回路电流，从而减少线路上产生的损耗，必要时，可在照明电源处增加集中补偿，减少变压器损耗；</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6 使用变功率镇流器，应通过相关控制手段，根据需要增加镇流器电抗值，从而降低回路电流，减少光源的电能损耗及光能输出，达到路灯系统整体节能的目的；</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7 使用电子镇流器，应采用开关电子变换电路的方法实现镇流；</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8 使用降压节能器，应通过调节输入电压，降低输出电压的平均值，达到控压节电的目的。</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6.2.3 集中调压型节能装置应满足以下要求：</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1 通过集中调整配电柜的输出电压作为手段，可采用固定降压、分级降压、无级稳压等方式。优先采用无级稳压方式；</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2 产品应满足《电力省电装置节能产品节能认证技术要求--第1部分 低压配电降压节电器》CCEC/T16.1-2006的要求；</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3 根据实际情况设定输出电压，输出电压不应小于196V；</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4 应具有自动稳压功能，输出电压可稳定在设定值，不随输入电压波动；</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5 应分相独立调节，每相电压可独立设定及调整；</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6 调压过程应平稳、可靠，不得出现熄灯现象；</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7 应具有多时段节能控制功能、节能模块故障自投备用回路功能、与自动化监控终端联网使用的功能。</w:t>
      </w:r>
    </w:p>
    <w:p>
      <w:pPr>
        <w:widowControl/>
        <w:shd w:val="clear" w:color="auto" w:fill="FFFFFF"/>
        <w:spacing w:before="420" w:after="420" w:line="420" w:lineRule="atLeast"/>
        <w:jc w:val="center"/>
        <w:outlineLvl w:val="2"/>
        <w:rPr>
          <w:rFonts w:ascii="微软雅黑" w:hAnsi="微软雅黑" w:eastAsia="微软雅黑" w:cs="宋体"/>
          <w:b/>
          <w:bCs/>
          <w:color w:val="444444"/>
          <w:kern w:val="0"/>
          <w:sz w:val="27"/>
          <w:szCs w:val="27"/>
        </w:rPr>
      </w:pPr>
      <w:r>
        <w:rPr>
          <w:rFonts w:hint="eastAsia" w:ascii="微软雅黑" w:hAnsi="微软雅黑" w:eastAsia="微软雅黑" w:cs="宋体"/>
          <w:b/>
          <w:bCs/>
          <w:color w:val="444444"/>
          <w:kern w:val="0"/>
          <w:sz w:val="27"/>
          <w:szCs w:val="27"/>
        </w:rPr>
        <w:t>6.3 控制系统节能</w:t>
      </w:r>
    </w:p>
    <w:p>
      <w:pPr>
        <w:widowControl/>
        <w:shd w:val="clear" w:color="auto" w:fill="FFFFFF"/>
        <w:spacing w:line="420" w:lineRule="atLeast"/>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t>6.3.1 控制系统节能应采用技术先进的控制系统，在提供各类合理照明水平的同时，节约电能。</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6.3.2控制系统应符合现行行业标准《城市照明自动控制系统技术规范》CJJ/T 227-2014的规定。</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6.3.3控制系统实行节能控制应符合现行行业标准《城市道路照明设计标准》CJJ45-2006对城市道路照明标准的规定。</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6.3.4控制系统应满足以下功能要求：</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1 控制系统应具备对城市照明进行远程集中监控的功能，对道路照明应具备对单盏光源监控管理的功能；</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2 控制系统应能够根据区域、路段、时间以及特殊情况等条件对城市照明进行节能控制；</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3 控制系统可采用时控和光控相结合的方式对城市照明进行节能控制；</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4 控制系统应提供开关灯控制、调光等节能控制措施，对道路照明应能够对单盏光源执行开关灯控制、调光等节能措施；</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5 控制系统应能够对系统实施后城市照明的节能率、节能量进行合理、有效的计算和分析。</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6.3.5 控制系统应满足以下性能要求：</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1 控制系统整体性能应满足城市照明设施正常运行的实时性要求；</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2 控制系统自身故障不应影响城市照明设施的正常运行；</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3 现场监控设备应能够适应城市照明设施的环境条件。</w:t>
      </w:r>
    </w:p>
    <w:p>
      <w:pPr>
        <w:widowControl/>
        <w:shd w:val="clear" w:color="auto" w:fill="FFFFFF"/>
        <w:spacing w:before="420" w:after="420" w:line="420" w:lineRule="atLeast"/>
        <w:jc w:val="center"/>
        <w:outlineLvl w:val="2"/>
        <w:rPr>
          <w:rFonts w:ascii="微软雅黑" w:hAnsi="微软雅黑" w:eastAsia="微软雅黑" w:cs="宋体"/>
          <w:b/>
          <w:bCs/>
          <w:color w:val="444444"/>
          <w:kern w:val="0"/>
          <w:sz w:val="27"/>
          <w:szCs w:val="27"/>
        </w:rPr>
      </w:pPr>
      <w:r>
        <w:rPr>
          <w:rFonts w:hint="eastAsia" w:ascii="微软雅黑" w:hAnsi="微软雅黑" w:eastAsia="微软雅黑" w:cs="宋体"/>
          <w:b/>
          <w:bCs/>
          <w:color w:val="444444"/>
          <w:kern w:val="0"/>
          <w:sz w:val="27"/>
          <w:szCs w:val="27"/>
        </w:rPr>
        <w:t>6.4 照明设计与节能</w:t>
      </w:r>
    </w:p>
    <w:p>
      <w:pPr>
        <w:widowControl/>
        <w:shd w:val="clear" w:color="auto" w:fill="FFFFFF"/>
        <w:spacing w:line="420" w:lineRule="atLeast"/>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t>6.4.1 照明设计应选择合理的照明方式，并应考虑节能。</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6.4.2 城市照明节能设计应在正确设计理念指导下，以人为本，按现行行业标准《城市道路照明设计标准》 CJJ45-2006、《城市夜景照明设计规范》JGJ/T 163-2008的要求进行。</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6.4.3 节能设计应满足城市照明基本的功能性要求，并应防止过度照明。</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6.4.4 景观照明节能设计可利用明、暗、或者其他环境因素。</w:t>
      </w:r>
    </w:p>
    <w:p>
      <w:pPr>
        <w:widowControl/>
        <w:shd w:val="clear" w:color="auto" w:fill="FFFFFF"/>
        <w:spacing w:before="420" w:after="420" w:line="420" w:lineRule="atLeast"/>
        <w:jc w:val="center"/>
        <w:outlineLvl w:val="2"/>
        <w:rPr>
          <w:rFonts w:ascii="微软雅黑" w:hAnsi="微软雅黑" w:eastAsia="微软雅黑" w:cs="宋体"/>
          <w:b/>
          <w:bCs/>
          <w:color w:val="444444"/>
          <w:kern w:val="0"/>
          <w:sz w:val="27"/>
          <w:szCs w:val="27"/>
        </w:rPr>
      </w:pPr>
      <w:r>
        <w:rPr>
          <w:rFonts w:hint="eastAsia" w:ascii="微软雅黑" w:hAnsi="微软雅黑" w:eastAsia="微软雅黑" w:cs="宋体"/>
          <w:b/>
          <w:bCs/>
          <w:color w:val="444444"/>
          <w:kern w:val="0"/>
          <w:sz w:val="27"/>
          <w:szCs w:val="27"/>
        </w:rPr>
        <w:t>7 节能效益分享</w:t>
      </w:r>
    </w:p>
    <w:p>
      <w:pPr>
        <w:widowControl/>
        <w:shd w:val="clear" w:color="auto" w:fill="FFFFFF"/>
        <w:spacing w:line="420" w:lineRule="atLeast"/>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t>7.0.1 项目的节能量应按照现场测量项目实施前后电量的差值确定。</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7.0.2 节电效益可采用7.0.1条确定的节能量乘以电费单价的合计值，或采用实际电表在项目实施前后电费差值。</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7.0.3 节能服务公司与用能单位应以适当方式约定节能效益分享比例、分享期限，并应明确支付方式。</w:t>
      </w:r>
    </w:p>
    <w:p>
      <w:pPr>
        <w:widowControl/>
        <w:shd w:val="clear" w:color="auto" w:fill="FFFFFF"/>
        <w:spacing w:before="420" w:after="420" w:line="420" w:lineRule="atLeast"/>
        <w:jc w:val="center"/>
        <w:outlineLvl w:val="2"/>
        <w:rPr>
          <w:rFonts w:ascii="微软雅黑" w:hAnsi="微软雅黑" w:eastAsia="微软雅黑" w:cs="宋体"/>
          <w:b/>
          <w:bCs/>
          <w:color w:val="444444"/>
          <w:kern w:val="0"/>
          <w:sz w:val="27"/>
          <w:szCs w:val="27"/>
        </w:rPr>
      </w:pPr>
      <w:r>
        <w:rPr>
          <w:rFonts w:hint="eastAsia" w:ascii="微软雅黑" w:hAnsi="微软雅黑" w:eastAsia="微软雅黑" w:cs="宋体"/>
          <w:b/>
          <w:bCs/>
          <w:color w:val="444444"/>
          <w:kern w:val="0"/>
          <w:sz w:val="27"/>
          <w:szCs w:val="27"/>
        </w:rPr>
        <w:t>本规程用词说明</w:t>
      </w:r>
    </w:p>
    <w:p>
      <w:pPr>
        <w:widowControl/>
        <w:shd w:val="clear" w:color="auto" w:fill="FFFFFF"/>
        <w:spacing w:line="420" w:lineRule="atLeast"/>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t>1 为便于在执行本规程条文时区别对待，对条文要求严格程度不同的用词说明如下：</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1）表示很严格，非这样做不可的用词：</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正面词采用“必须”；反面词采用“严禁”；</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2）表示严格，在正常情况下均应这样做的用词：</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正面词采用“应”；反面词采用“不应”或“不得”；</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3）表示允许稍有选择，在条件许可时首先应这样做的用词：</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正面词采用“宜”；反面词采用“不宜”；</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4）表示有选择，在一定条件下可以这样做的用词用词，采用“可”。</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2 条文中指定应按其他有关标准执行的写法为：“应符合……的规定”或“应按……执行”。</w:t>
      </w:r>
    </w:p>
    <w:p>
      <w:pPr>
        <w:widowControl/>
        <w:shd w:val="clear" w:color="auto" w:fill="FFFFFF"/>
        <w:spacing w:before="420" w:after="420" w:line="420" w:lineRule="atLeast"/>
        <w:jc w:val="center"/>
        <w:outlineLvl w:val="2"/>
        <w:rPr>
          <w:rFonts w:ascii="微软雅黑" w:hAnsi="微软雅黑" w:eastAsia="微软雅黑" w:cs="宋体"/>
          <w:b/>
          <w:bCs/>
          <w:color w:val="444444"/>
          <w:kern w:val="0"/>
          <w:sz w:val="27"/>
          <w:szCs w:val="27"/>
        </w:rPr>
      </w:pPr>
      <w:r>
        <w:rPr>
          <w:rFonts w:hint="eastAsia" w:ascii="微软雅黑" w:hAnsi="微软雅黑" w:eastAsia="微软雅黑" w:cs="宋体"/>
          <w:b/>
          <w:bCs/>
          <w:color w:val="444444"/>
          <w:kern w:val="0"/>
          <w:sz w:val="27"/>
          <w:szCs w:val="27"/>
        </w:rPr>
        <w:t>引用标准名录</w:t>
      </w:r>
    </w:p>
    <w:p>
      <w:pPr>
        <w:widowControl/>
        <w:shd w:val="clear" w:color="auto" w:fill="FFFFFF"/>
        <w:spacing w:line="420" w:lineRule="atLeast"/>
        <w:jc w:val="left"/>
        <w:rPr>
          <w:rFonts w:ascii="微软雅黑" w:hAnsi="微软雅黑" w:eastAsia="微软雅黑" w:cs="宋体"/>
          <w:color w:val="444444"/>
          <w:kern w:val="0"/>
          <w:szCs w:val="21"/>
        </w:rPr>
      </w:pPr>
      <w:r>
        <w:rPr>
          <w:rFonts w:hint="eastAsia" w:ascii="微软雅黑" w:hAnsi="微软雅黑" w:eastAsia="微软雅黑" w:cs="宋体"/>
          <w:color w:val="444444"/>
          <w:kern w:val="0"/>
          <w:szCs w:val="21"/>
        </w:rPr>
        <w:t>　　1 《灯和灯系统的光生物安全性》 GB/T 20145-2006</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2 《灯具 第1部分:一般安全与试验》 GB7000.1-2007</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3 《道路与街路照明灯具安全要求》 GB7000.5-2005</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4 《电磁兼容 限值 谐波电流发射限值(设备每相输入电流≤16A)》 GB 17625.1-2012</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5 《电气照明和类似设备的无线电骚扰特性的限值和测量方法》 GB 17743-2007</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6 《一般照明设备电磁兼容抗扰度要求》 GB/T 18595-2001</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7 《额定电压450/750V及以下橡皮绝缘电缆 第4部分：软线和软电缆》 GB/T 5013.4-2008</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8 《城市照明自动控制系统技术规范》 CJJ/T 227-2014</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9 《城市道路照明设计标准》 CJJ45-2006</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t>　　10 《城市夜景照明设计规范》 JGJ/T 163-2008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A40"/>
    <w:multiLevelType w:val="multilevel"/>
    <w:tmpl w:val="214D4A4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61595EC7"/>
    <w:multiLevelType w:val="multilevel"/>
    <w:tmpl w:val="61595EC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4630"/>
    <w:rsid w:val="001143F3"/>
    <w:rsid w:val="00A344B0"/>
    <w:rsid w:val="00D54630"/>
    <w:rsid w:val="00F0530C"/>
    <w:rsid w:val="7C2B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1"/>
    <w:unhideWhenUsed/>
    <w:qFormat/>
    <w:uiPriority w:val="99"/>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2 Char"/>
    <w:basedOn w:val="6"/>
    <w:link w:val="2"/>
    <w:uiPriority w:val="9"/>
    <w:rPr>
      <w:rFonts w:ascii="宋体" w:hAnsi="宋体" w:eastAsia="宋体" w:cs="宋体"/>
      <w:b/>
      <w:bCs/>
      <w:kern w:val="0"/>
      <w:sz w:val="36"/>
      <w:szCs w:val="36"/>
    </w:rPr>
  </w:style>
  <w:style w:type="character" w:customStyle="1" w:styleId="9">
    <w:name w:val="标题 3 Char"/>
    <w:basedOn w:val="6"/>
    <w:link w:val="3"/>
    <w:uiPriority w:val="9"/>
    <w:rPr>
      <w:rFonts w:ascii="宋体" w:hAnsi="宋体" w:eastAsia="宋体" w:cs="宋体"/>
      <w:b/>
      <w:bCs/>
      <w:kern w:val="0"/>
      <w:sz w:val="27"/>
      <w:szCs w:val="27"/>
    </w:rPr>
  </w:style>
  <w:style w:type="character" w:customStyle="1" w:styleId="10">
    <w:name w:val="apple-converted-space"/>
    <w:basedOn w:val="6"/>
    <w:uiPriority w:val="0"/>
  </w:style>
  <w:style w:type="character" w:customStyle="1" w:styleId="11">
    <w:name w:val="批注框文本 Char"/>
    <w:basedOn w:val="6"/>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1233</Words>
  <Characters>7033</Characters>
  <Lines>58</Lines>
  <Paragraphs>16</Paragraphs>
  <TotalTime>0</TotalTime>
  <ScaleCrop>false</ScaleCrop>
  <LinksUpToDate>false</LinksUpToDate>
  <CharactersWithSpaces>8250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2017-07-17T01:54:00Z</dcterms:created>
  <dc:creator>pyf</dc:creator>
  <cp:lastModifiedBy>Administrator</cp:lastModifiedBy>
  <dcterms:modified xsi:type="dcterms:W3CDTF">2017-10-10T07:25:20Z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